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4160" w14:textId="31925630" w:rsidR="00C66857" w:rsidRPr="002D2700" w:rsidRDefault="00BD0A88" w:rsidP="002D2700">
      <w:pPr>
        <w:jc w:val="center"/>
        <w:rPr>
          <w:rFonts w:asciiTheme="majorHAnsi" w:hAnsiTheme="majorHAnsi" w:cstheme="majorHAnsi"/>
          <w:b/>
          <w:bCs/>
          <w:sz w:val="28"/>
          <w:szCs w:val="28"/>
          <w:lang w:val="en-US"/>
        </w:rPr>
      </w:pPr>
      <w:r w:rsidRPr="002D2700">
        <w:rPr>
          <w:rFonts w:asciiTheme="majorHAnsi" w:hAnsiTheme="majorHAnsi" w:cstheme="majorHAnsi"/>
          <w:b/>
          <w:bCs/>
          <w:sz w:val="28"/>
          <w:szCs w:val="28"/>
          <w:lang w:val="en-US"/>
        </w:rPr>
        <w:t>Concept note – ECOSOC Webinar</w:t>
      </w:r>
    </w:p>
    <w:p w14:paraId="39D054B8" w14:textId="296E78AD" w:rsidR="00BD0A88" w:rsidRPr="002D2700" w:rsidRDefault="00BD0A88" w:rsidP="002D2700">
      <w:pPr>
        <w:jc w:val="center"/>
        <w:rPr>
          <w:rFonts w:asciiTheme="majorHAnsi" w:hAnsiTheme="majorHAnsi" w:cstheme="majorHAnsi"/>
          <w:b/>
          <w:bCs/>
          <w:sz w:val="28"/>
          <w:szCs w:val="28"/>
          <w:lang w:val="en-US"/>
        </w:rPr>
      </w:pPr>
      <w:r w:rsidRPr="002D2700">
        <w:rPr>
          <w:rFonts w:asciiTheme="majorHAnsi" w:hAnsiTheme="majorHAnsi" w:cstheme="majorHAnsi"/>
          <w:b/>
          <w:bCs/>
          <w:sz w:val="28"/>
          <w:szCs w:val="28"/>
          <w:lang w:val="en-US"/>
        </w:rPr>
        <w:t xml:space="preserve">Date: </w:t>
      </w:r>
      <w:r w:rsidR="001341C1" w:rsidRPr="002D2700">
        <w:rPr>
          <w:rFonts w:asciiTheme="majorHAnsi" w:hAnsiTheme="majorHAnsi" w:cstheme="majorHAnsi"/>
          <w:b/>
          <w:bCs/>
          <w:sz w:val="28"/>
          <w:szCs w:val="28"/>
          <w:lang w:val="en-US"/>
        </w:rPr>
        <w:t xml:space="preserve">Wednesday, </w:t>
      </w:r>
      <w:r w:rsidRPr="002D2700">
        <w:rPr>
          <w:rFonts w:asciiTheme="majorHAnsi" w:hAnsiTheme="majorHAnsi" w:cstheme="majorHAnsi"/>
          <w:b/>
          <w:bCs/>
          <w:sz w:val="28"/>
          <w:szCs w:val="28"/>
          <w:lang w:val="en-US"/>
        </w:rPr>
        <w:t>2</w:t>
      </w:r>
      <w:r w:rsidR="001341C1" w:rsidRPr="002D2700">
        <w:rPr>
          <w:rFonts w:asciiTheme="majorHAnsi" w:hAnsiTheme="majorHAnsi" w:cstheme="majorHAnsi"/>
          <w:b/>
          <w:bCs/>
          <w:sz w:val="28"/>
          <w:szCs w:val="28"/>
          <w:lang w:val="en-US"/>
        </w:rPr>
        <w:t>0</w:t>
      </w:r>
      <w:r w:rsidRPr="002D2700">
        <w:rPr>
          <w:rFonts w:asciiTheme="majorHAnsi" w:hAnsiTheme="majorHAnsi" w:cstheme="majorHAnsi"/>
          <w:b/>
          <w:bCs/>
          <w:sz w:val="28"/>
          <w:szCs w:val="28"/>
          <w:lang w:val="en-US"/>
        </w:rPr>
        <w:t xml:space="preserve"> May 2020</w:t>
      </w:r>
    </w:p>
    <w:p w14:paraId="4AB37EF5" w14:textId="041C5F47" w:rsidR="00BD0A88" w:rsidRPr="002D2700" w:rsidRDefault="00BD0A88" w:rsidP="002D2700">
      <w:pPr>
        <w:jc w:val="center"/>
        <w:rPr>
          <w:rFonts w:asciiTheme="majorHAnsi" w:hAnsiTheme="majorHAnsi" w:cstheme="majorHAnsi"/>
          <w:b/>
          <w:bCs/>
          <w:sz w:val="28"/>
          <w:szCs w:val="28"/>
          <w:lang w:val="en-US"/>
        </w:rPr>
      </w:pPr>
      <w:r w:rsidRPr="002D2700">
        <w:rPr>
          <w:rFonts w:asciiTheme="majorHAnsi" w:hAnsiTheme="majorHAnsi" w:cstheme="majorHAnsi"/>
          <w:b/>
          <w:bCs/>
          <w:sz w:val="28"/>
          <w:szCs w:val="28"/>
          <w:lang w:val="en-US"/>
        </w:rPr>
        <w:t xml:space="preserve">Time: </w:t>
      </w:r>
      <w:r w:rsidR="001341C1" w:rsidRPr="002D2700">
        <w:rPr>
          <w:rFonts w:asciiTheme="majorHAnsi" w:hAnsiTheme="majorHAnsi" w:cstheme="majorHAnsi"/>
          <w:b/>
          <w:bCs/>
          <w:sz w:val="28"/>
          <w:szCs w:val="28"/>
          <w:lang w:val="en-US"/>
        </w:rPr>
        <w:t>1 p.m. to 3:30 p.m.</w:t>
      </w:r>
    </w:p>
    <w:p w14:paraId="7A0ECF5E" w14:textId="1E4AD9F1" w:rsidR="005100CD" w:rsidRPr="002D2700" w:rsidRDefault="005100CD" w:rsidP="00486D2B">
      <w:pPr>
        <w:jc w:val="both"/>
        <w:rPr>
          <w:rFonts w:asciiTheme="majorHAnsi" w:hAnsiTheme="majorHAnsi" w:cstheme="majorHAnsi"/>
          <w:b/>
          <w:bCs/>
          <w:sz w:val="26"/>
          <w:szCs w:val="26"/>
          <w:u w:val="single"/>
          <w:lang w:val="en-US" w:bidi="ar-LB"/>
        </w:rPr>
      </w:pPr>
      <w:r w:rsidRPr="002D2700">
        <w:rPr>
          <w:rFonts w:asciiTheme="majorHAnsi" w:hAnsiTheme="majorHAnsi" w:cstheme="majorHAnsi"/>
          <w:b/>
          <w:bCs/>
          <w:sz w:val="26"/>
          <w:szCs w:val="26"/>
          <w:u w:val="single"/>
          <w:lang w:val="en-US" w:bidi="ar-LB"/>
        </w:rPr>
        <w:t>Summary:</w:t>
      </w:r>
    </w:p>
    <w:p w14:paraId="486E58E2" w14:textId="4C119428" w:rsidR="001A08A5" w:rsidRPr="00FF0698" w:rsidRDefault="00FC616E" w:rsidP="00486D2B">
      <w:pPr>
        <w:jc w:val="both"/>
        <w:rPr>
          <w:lang w:val="en-US" w:bidi="ar-LB"/>
        </w:rPr>
      </w:pPr>
      <w:proofErr w:type="gramStart"/>
      <w:r>
        <w:rPr>
          <w:lang w:val="en-US" w:bidi="ar-LB"/>
        </w:rPr>
        <w:t>In light of</w:t>
      </w:r>
      <w:proofErr w:type="gramEnd"/>
      <w:r>
        <w:rPr>
          <w:lang w:val="en-US" w:bidi="ar-LB"/>
        </w:rPr>
        <w:t xml:space="preserve"> the global COVID-19 pandemic, MAJALAT has developed a new activity plan for the years 2020-2021 that aims </w:t>
      </w:r>
      <w:r w:rsidR="001A08A5">
        <w:rPr>
          <w:lang w:val="en-US" w:bidi="ar-LB"/>
        </w:rPr>
        <w:t>continue the work on the</w:t>
      </w:r>
      <w:r>
        <w:rPr>
          <w:lang w:val="en-US" w:bidi="ar-LB"/>
        </w:rPr>
        <w:t xml:space="preserve"> EU-neighborhood dialogue despite the restrictions on people’s movement, using online communication tools. In this context, a series of webinars will be held in the upcoming months, building on the recommendations</w:t>
      </w:r>
      <w:r w:rsidR="004F6BF4">
        <w:rPr>
          <w:rStyle w:val="FootnoteReference"/>
          <w:lang w:val="en-US" w:bidi="ar-LB"/>
        </w:rPr>
        <w:footnoteReference w:id="1"/>
      </w:r>
      <w:r>
        <w:rPr>
          <w:lang w:val="en-US" w:bidi="ar-LB"/>
        </w:rPr>
        <w:t xml:space="preserve"> drafted and discussed in previous events, including the </w:t>
      </w:r>
      <w:r w:rsidR="001A08A5">
        <w:rPr>
          <w:lang w:val="en-US" w:bidi="ar-LB"/>
        </w:rPr>
        <w:t xml:space="preserve">Civil Society Forum </w:t>
      </w:r>
      <w:r>
        <w:rPr>
          <w:lang w:val="en-US" w:bidi="ar-LB"/>
        </w:rPr>
        <w:t xml:space="preserve">in Brussels last December. The first series of webinars to take place will </w:t>
      </w:r>
      <w:r w:rsidR="002368E5">
        <w:rPr>
          <w:lang w:val="en-US" w:bidi="ar-LB"/>
        </w:rPr>
        <w:t>offer a</w:t>
      </w:r>
      <w:r>
        <w:rPr>
          <w:lang w:val="en-US" w:bidi="ar-LB"/>
        </w:rPr>
        <w:t xml:space="preserve"> space for representatives of civil society organizations to reflect on the impact of the crisis on the recommendations</w:t>
      </w:r>
      <w:r w:rsidR="001A08A5">
        <w:rPr>
          <w:lang w:val="en-US" w:bidi="ar-LB"/>
        </w:rPr>
        <w:t xml:space="preserve"> that we have developed</w:t>
      </w:r>
      <w:r w:rsidR="00395984">
        <w:rPr>
          <w:lang w:val="en-US" w:bidi="ar-LB"/>
        </w:rPr>
        <w:t xml:space="preserve">. In </w:t>
      </w:r>
      <w:r w:rsidR="001A08A5">
        <w:rPr>
          <w:lang w:val="en-US" w:bidi="ar-LB"/>
        </w:rPr>
        <w:t>this</w:t>
      </w:r>
      <w:r w:rsidR="00395984">
        <w:rPr>
          <w:lang w:val="en-US" w:bidi="ar-LB"/>
        </w:rPr>
        <w:t xml:space="preserve"> context, ANND will be hosting a webinar specifically on the Economic</w:t>
      </w:r>
      <w:r w:rsidR="0003475A">
        <w:rPr>
          <w:lang w:val="en-US" w:bidi="ar-LB"/>
        </w:rPr>
        <w:t xml:space="preserve"> Development</w:t>
      </w:r>
      <w:r w:rsidR="00395984">
        <w:rPr>
          <w:lang w:val="en-US" w:bidi="ar-LB"/>
        </w:rPr>
        <w:t xml:space="preserve"> and Social Dialogue</w:t>
      </w:r>
      <w:r w:rsidR="001A08A5">
        <w:rPr>
          <w:lang w:val="en-US" w:bidi="ar-LB"/>
        </w:rPr>
        <w:t xml:space="preserve"> (ECOSOC)</w:t>
      </w:r>
      <w:r w:rsidR="00395984">
        <w:rPr>
          <w:lang w:val="en-US" w:bidi="ar-LB"/>
        </w:rPr>
        <w:t xml:space="preserve"> theme, where we will look back on the recommendations</w:t>
      </w:r>
      <w:r w:rsidR="001A08A5">
        <w:rPr>
          <w:lang w:val="en-US" w:bidi="ar-LB"/>
        </w:rPr>
        <w:t xml:space="preserve"> presented at the </w:t>
      </w:r>
      <w:r w:rsidR="00460E41">
        <w:rPr>
          <w:lang w:val="en-US" w:bidi="ar-LB"/>
        </w:rPr>
        <w:t>f</w:t>
      </w:r>
      <w:r w:rsidR="001A08A5">
        <w:rPr>
          <w:lang w:val="en-US" w:bidi="ar-LB"/>
        </w:rPr>
        <w:t>orum</w:t>
      </w:r>
      <w:r w:rsidR="00395984">
        <w:rPr>
          <w:lang w:val="en-US" w:bidi="ar-LB"/>
        </w:rPr>
        <w:t xml:space="preserve"> </w:t>
      </w:r>
      <w:r w:rsidR="001A08A5">
        <w:rPr>
          <w:lang w:val="en-US" w:bidi="ar-LB"/>
        </w:rPr>
        <w:t xml:space="preserve">in this theme and review them in light </w:t>
      </w:r>
      <w:r w:rsidR="001A08A5" w:rsidRPr="00FF0698">
        <w:rPr>
          <w:lang w:val="en-US" w:bidi="ar-LB"/>
        </w:rPr>
        <w:t>of the recent developments.</w:t>
      </w:r>
    </w:p>
    <w:p w14:paraId="2CA9FF14" w14:textId="2DD1A051" w:rsidR="005100CD" w:rsidRPr="002D2700" w:rsidRDefault="005100CD" w:rsidP="00486D2B">
      <w:pPr>
        <w:jc w:val="both"/>
        <w:rPr>
          <w:rFonts w:asciiTheme="majorHAnsi" w:hAnsiTheme="majorHAnsi" w:cstheme="majorHAnsi"/>
          <w:b/>
          <w:bCs/>
          <w:sz w:val="26"/>
          <w:szCs w:val="26"/>
          <w:u w:val="single"/>
          <w:lang w:val="en-US" w:bidi="ar-LB"/>
        </w:rPr>
      </w:pPr>
      <w:r w:rsidRPr="002D2700">
        <w:rPr>
          <w:rFonts w:asciiTheme="majorHAnsi" w:hAnsiTheme="majorHAnsi" w:cstheme="majorHAnsi"/>
          <w:b/>
          <w:bCs/>
          <w:sz w:val="26"/>
          <w:szCs w:val="26"/>
          <w:u w:val="single"/>
          <w:lang w:val="en-US" w:bidi="ar-LB"/>
        </w:rPr>
        <w:t>Background and context:</w:t>
      </w:r>
    </w:p>
    <w:p w14:paraId="2DCE1DBB" w14:textId="0253E3DE" w:rsidR="00A22EED" w:rsidRDefault="00A22EED" w:rsidP="00486D2B">
      <w:pPr>
        <w:jc w:val="both"/>
        <w:rPr>
          <w:lang w:val="en-US" w:bidi="ar-LB"/>
        </w:rPr>
      </w:pPr>
      <w:r>
        <w:rPr>
          <w:lang w:val="en-US" w:bidi="ar-LB"/>
        </w:rPr>
        <w:t>The crisis resulting from the recent COVID-19 pandemic has taken its toll on the world’s countries, without exception.</w:t>
      </w:r>
      <w:r w:rsidR="00893D7F">
        <w:rPr>
          <w:lang w:val="en-US" w:bidi="ar-LB"/>
        </w:rPr>
        <w:t xml:space="preserve"> Over a quarter million people have succumbed to the virus worldwide, out of </w:t>
      </w:r>
      <w:r w:rsidR="0017667D">
        <w:rPr>
          <w:lang w:val="en-US" w:bidi="ar-LB"/>
        </w:rPr>
        <w:t>over</w:t>
      </w:r>
      <w:r w:rsidR="00893D7F">
        <w:rPr>
          <w:lang w:val="en-US" w:bidi="ar-LB"/>
        </w:rPr>
        <w:t xml:space="preserve"> 3</w:t>
      </w:r>
      <w:r w:rsidR="0017667D">
        <w:rPr>
          <w:lang w:val="en-US" w:bidi="ar-LB"/>
        </w:rPr>
        <w:t>.6 million cases documented by the WHO</w:t>
      </w:r>
      <w:r w:rsidR="00370424">
        <w:rPr>
          <w:rStyle w:val="EndnoteReference"/>
          <w:lang w:val="en-US" w:bidi="ar-LB"/>
        </w:rPr>
        <w:endnoteReference w:id="1"/>
      </w:r>
      <w:r w:rsidR="00893D7F">
        <w:rPr>
          <w:lang w:val="en-US" w:bidi="ar-LB"/>
        </w:rPr>
        <w:t>.</w:t>
      </w:r>
      <w:r>
        <w:rPr>
          <w:lang w:val="en-US" w:bidi="ar-LB"/>
        </w:rPr>
        <w:t xml:space="preserve"> Both in the global north and south, economic structures and social protection system</w:t>
      </w:r>
      <w:r w:rsidR="00486D2B">
        <w:rPr>
          <w:lang w:val="en-US" w:bidi="ar-LB"/>
        </w:rPr>
        <w:t>s</w:t>
      </w:r>
      <w:r>
        <w:rPr>
          <w:lang w:val="en-US" w:bidi="ar-LB"/>
        </w:rPr>
        <w:t xml:space="preserve"> have crashed or proven their ineffectiveness in dealing with such phenomena.</w:t>
      </w:r>
      <w:r w:rsidR="0037137C">
        <w:rPr>
          <w:lang w:val="en-US" w:bidi="ar-LB"/>
        </w:rPr>
        <w:t xml:space="preserve"> </w:t>
      </w:r>
      <w:r w:rsidR="009C5970">
        <w:rPr>
          <w:lang w:val="en-US" w:bidi="ar-LB"/>
        </w:rPr>
        <w:t>One in five of all workers in</w:t>
      </w:r>
      <w:r w:rsidR="0037137C">
        <w:rPr>
          <w:lang w:val="en-US" w:bidi="ar-LB"/>
        </w:rPr>
        <w:t xml:space="preserve"> the Unites States of America</w:t>
      </w:r>
      <w:r w:rsidR="00F6134C">
        <w:rPr>
          <w:lang w:val="en-US" w:bidi="ar-LB"/>
        </w:rPr>
        <w:t>, the world’s biggest economy,</w:t>
      </w:r>
      <w:r w:rsidR="0037137C">
        <w:rPr>
          <w:lang w:val="en-US" w:bidi="ar-LB"/>
        </w:rPr>
        <w:t xml:space="preserve"> </w:t>
      </w:r>
      <w:r w:rsidR="00486D2B">
        <w:rPr>
          <w:lang w:val="en-US" w:bidi="ar-LB"/>
        </w:rPr>
        <w:t>have filed for unemployment benefits since mid-March</w:t>
      </w:r>
      <w:r w:rsidR="00460E41">
        <w:rPr>
          <w:rStyle w:val="EndnoteReference"/>
          <w:lang w:val="en-US" w:bidi="ar-LB"/>
        </w:rPr>
        <w:endnoteReference w:id="2"/>
      </w:r>
      <w:r w:rsidR="009C5970">
        <w:rPr>
          <w:lang w:val="en-US" w:bidi="ar-LB"/>
        </w:rPr>
        <w:t xml:space="preserve">, including millions who lost their </w:t>
      </w:r>
      <w:r w:rsidR="0037137C">
        <w:rPr>
          <w:lang w:val="en-US" w:bidi="ar-LB"/>
        </w:rPr>
        <w:t>health insurance</w:t>
      </w:r>
      <w:r w:rsidR="009C5970">
        <w:rPr>
          <w:lang w:val="en-US" w:bidi="ar-LB"/>
        </w:rPr>
        <w:t>.</w:t>
      </w:r>
    </w:p>
    <w:p w14:paraId="0C4D7FF0" w14:textId="5D5F9A93" w:rsidR="009D60DF" w:rsidRDefault="00F6134C" w:rsidP="00114687">
      <w:pPr>
        <w:jc w:val="both"/>
        <w:rPr>
          <w:lang w:val="en-US" w:bidi="ar-LB"/>
        </w:rPr>
      </w:pPr>
      <w:r>
        <w:rPr>
          <w:lang w:val="en-US" w:bidi="ar-LB"/>
        </w:rPr>
        <w:t>Although the countries of West Asia and North Africa were able to learn from the experiences and effective measures of countries that were infected earlier, they have had their share of economic and social damage too.</w:t>
      </w:r>
      <w:r w:rsidR="00E7665A">
        <w:rPr>
          <w:lang w:val="en-US" w:bidi="ar-LB"/>
        </w:rPr>
        <w:t xml:space="preserve"> </w:t>
      </w:r>
      <w:r w:rsidR="003433A7">
        <w:rPr>
          <w:lang w:val="en-US" w:bidi="ar-LB"/>
        </w:rPr>
        <w:t>The Arab region will lose $42 billion in gross domestic product according to ESCWA’s estimations</w:t>
      </w:r>
      <w:r w:rsidR="00370424">
        <w:rPr>
          <w:rStyle w:val="EndnoteReference"/>
          <w:lang w:val="en-US" w:bidi="ar-LB"/>
        </w:rPr>
        <w:endnoteReference w:id="3"/>
      </w:r>
      <w:r w:rsidR="003433A7">
        <w:rPr>
          <w:lang w:val="en-US" w:bidi="ar-LB"/>
        </w:rPr>
        <w:t>, and 1.7 million jobs in the year 2020. By mid-March, market capital losses by businesses in the region reached $420 billion according to UNDP</w:t>
      </w:r>
      <w:r w:rsidR="00370424">
        <w:rPr>
          <w:rStyle w:val="EndnoteReference"/>
          <w:lang w:val="en-US" w:bidi="ar-LB"/>
        </w:rPr>
        <w:endnoteReference w:id="4"/>
      </w:r>
      <w:r w:rsidR="003433A7">
        <w:rPr>
          <w:lang w:val="en-US" w:bidi="ar-LB"/>
        </w:rPr>
        <w:t>. That said, t</w:t>
      </w:r>
      <w:r w:rsidR="00893D7F">
        <w:rPr>
          <w:lang w:val="en-US" w:bidi="ar-LB"/>
        </w:rPr>
        <w:t>he number of cases</w:t>
      </w:r>
      <w:r w:rsidR="003433A7">
        <w:rPr>
          <w:lang w:val="en-US" w:bidi="ar-LB"/>
        </w:rPr>
        <w:t xml:space="preserve"> and deaths</w:t>
      </w:r>
      <w:r w:rsidR="00893D7F">
        <w:rPr>
          <w:lang w:val="en-US" w:bidi="ar-LB"/>
        </w:rPr>
        <w:t xml:space="preserve">, as well as the scale of testing </w:t>
      </w:r>
      <w:r w:rsidR="003433A7">
        <w:rPr>
          <w:lang w:val="en-US" w:bidi="ar-LB"/>
        </w:rPr>
        <w:t>and reporting,</w:t>
      </w:r>
      <w:r w:rsidR="00893D7F">
        <w:rPr>
          <w:lang w:val="en-US" w:bidi="ar-LB"/>
        </w:rPr>
        <w:t xml:space="preserve"> varied significantly among the region’s countries.</w:t>
      </w:r>
      <w:r w:rsidR="009D60DF">
        <w:rPr>
          <w:rStyle w:val="EndnoteReference"/>
          <w:lang w:val="en-US" w:bidi="ar-LB"/>
        </w:rPr>
        <w:endnoteReference w:id="5"/>
      </w:r>
      <w:r w:rsidR="00893D7F">
        <w:rPr>
          <w:lang w:val="en-US" w:bidi="ar-LB"/>
        </w:rPr>
        <w:t xml:space="preserve"> </w:t>
      </w:r>
      <w:r w:rsidR="0017667D">
        <w:rPr>
          <w:lang w:val="en-US" w:bidi="ar-LB"/>
        </w:rPr>
        <w:t>For instance, Algeria has recorded more than 27 times as many deaths per 1 million people as Jordan (11 to 0.4) while carrying out only 1.5% of the number of tests relative</w:t>
      </w:r>
      <w:r w:rsidR="003433A7">
        <w:rPr>
          <w:lang w:val="en-US" w:bidi="ar-LB"/>
        </w:rPr>
        <w:t xml:space="preserve"> </w:t>
      </w:r>
      <w:r w:rsidR="0017667D">
        <w:rPr>
          <w:lang w:val="en-US" w:bidi="ar-LB"/>
        </w:rPr>
        <w:t xml:space="preserve">to the population size. And while the total deaths recorded in Algeria, Tunisia, Morocco, Libya, Egypt, Jordan, Palestine, Lebanon and Syria have not crossed 1233, </w:t>
      </w:r>
      <w:r w:rsidR="00114687">
        <w:rPr>
          <w:lang w:val="en-US" w:bidi="ar-LB"/>
        </w:rPr>
        <w:t xml:space="preserve">many of these countries seem to be underreporting or undertesting, as clear in the cases of Libya and Egypt, where only 340 </w:t>
      </w:r>
      <w:r w:rsidR="0017667D">
        <w:rPr>
          <w:lang w:val="en-US" w:bidi="ar-LB"/>
        </w:rPr>
        <w:t xml:space="preserve"> </w:t>
      </w:r>
      <w:r w:rsidR="00114687">
        <w:rPr>
          <w:lang w:val="en-US" w:bidi="ar-LB"/>
        </w:rPr>
        <w:t>and 879 tests per 1 million people have been carried out, while the world average</w:t>
      </w:r>
      <w:r w:rsidR="00460E41">
        <w:rPr>
          <w:lang w:val="en-US" w:bidi="ar-LB"/>
        </w:rPr>
        <w:t xml:space="preserve"> for a country</w:t>
      </w:r>
      <w:r w:rsidR="00114687">
        <w:rPr>
          <w:lang w:val="en-US" w:bidi="ar-LB"/>
        </w:rPr>
        <w:t xml:space="preserve"> is close to 17,000. </w:t>
      </w:r>
    </w:p>
    <w:p w14:paraId="157F7BA2" w14:textId="1AA12412" w:rsidR="003D19A9" w:rsidRDefault="00E7665A" w:rsidP="00114687">
      <w:pPr>
        <w:jc w:val="both"/>
        <w:rPr>
          <w:lang w:val="en-US" w:bidi="ar-LB"/>
        </w:rPr>
      </w:pPr>
      <w:r>
        <w:rPr>
          <w:lang w:val="en-US" w:bidi="ar-LB"/>
        </w:rPr>
        <w:lastRenderedPageBreak/>
        <w:t>Oil-producers</w:t>
      </w:r>
      <w:r w:rsidR="009D60DF">
        <w:rPr>
          <w:lang w:val="en-US" w:bidi="ar-LB"/>
        </w:rPr>
        <w:t xml:space="preserve"> in the region</w:t>
      </w:r>
      <w:r>
        <w:rPr>
          <w:lang w:val="en-US" w:bidi="ar-LB"/>
        </w:rPr>
        <w:t xml:space="preserve"> have </w:t>
      </w:r>
      <w:r w:rsidR="009D60DF">
        <w:rPr>
          <w:lang w:val="en-US" w:bidi="ar-LB"/>
        </w:rPr>
        <w:t>paid the price of the</w:t>
      </w:r>
      <w:r>
        <w:rPr>
          <w:lang w:val="en-US" w:bidi="ar-LB"/>
        </w:rPr>
        <w:t xml:space="preserve"> dramatic decline in prices, with the crude oil barrel reaching as little as </w:t>
      </w:r>
      <w:r w:rsidR="009D60DF">
        <w:rPr>
          <w:lang w:val="en-US" w:bidi="ar-LB"/>
        </w:rPr>
        <w:t>40%</w:t>
      </w:r>
      <w:r>
        <w:rPr>
          <w:lang w:val="en-US" w:bidi="ar-LB"/>
        </w:rPr>
        <w:t xml:space="preserve"> the price it started the year with. Countries already witnessing alarming unemployment rates or ongoing economic crises, and those where seasonal work dominates the labor market, are expecting recession and therefore more job losses and lower purchasing power. Moreover, although governments’ responses have largely been serious in terms of imposing lockdowns, border closures and social distancing, the popularity of the measures especially in terms of restrictions to collective political action</w:t>
      </w:r>
      <w:r w:rsidR="00460E41">
        <w:rPr>
          <w:lang w:val="en-US" w:bidi="ar-LB"/>
        </w:rPr>
        <w:t>,</w:t>
      </w:r>
      <w:r>
        <w:rPr>
          <w:lang w:val="en-US" w:bidi="ar-LB"/>
        </w:rPr>
        <w:t xml:space="preserve"> have varied. </w:t>
      </w:r>
      <w:r w:rsidR="00A22EED">
        <w:rPr>
          <w:lang w:val="en-US" w:bidi="ar-LB"/>
        </w:rPr>
        <w:t>The crisis ha</w:t>
      </w:r>
      <w:r w:rsidR="00370424">
        <w:rPr>
          <w:lang w:val="en-US" w:bidi="ar-LB"/>
        </w:rPr>
        <w:t>s</w:t>
      </w:r>
      <w:r w:rsidR="00A22EED">
        <w:rPr>
          <w:lang w:val="en-US" w:bidi="ar-LB"/>
        </w:rPr>
        <w:t xml:space="preserve"> prompted many </w:t>
      </w:r>
      <w:r w:rsidR="00460E41">
        <w:rPr>
          <w:lang w:val="en-US" w:bidi="ar-LB"/>
        </w:rPr>
        <w:t xml:space="preserve">local </w:t>
      </w:r>
      <w:r w:rsidR="00A22EED">
        <w:rPr>
          <w:lang w:val="en-US" w:bidi="ar-LB"/>
        </w:rPr>
        <w:t xml:space="preserve">voices to </w:t>
      </w:r>
      <w:r w:rsidR="003D19A9">
        <w:rPr>
          <w:lang w:val="en-US" w:bidi="ar-LB"/>
        </w:rPr>
        <w:t>point at the failure of governments to protect their citizens and residents, especially in terms of health and labor rights.</w:t>
      </w:r>
      <w:r>
        <w:rPr>
          <w:lang w:val="en-US" w:bidi="ar-LB"/>
        </w:rPr>
        <w:t xml:space="preserve"> </w:t>
      </w:r>
    </w:p>
    <w:p w14:paraId="6496E3FF" w14:textId="1827DEE6" w:rsidR="007A658D" w:rsidRPr="006B606F" w:rsidRDefault="003D19A9" w:rsidP="00205F3C">
      <w:pPr>
        <w:jc w:val="both"/>
        <w:rPr>
          <w:lang w:val="en-US" w:bidi="ar-LB"/>
        </w:rPr>
      </w:pPr>
      <w:r>
        <w:rPr>
          <w:lang w:val="en-US" w:bidi="ar-LB"/>
        </w:rPr>
        <w:t>These conversations have also been alive in wealthier countries, whose social protection systems and public planning competences affected by neoliberal transformation failed to respond universally, and collectively, to the vast impact immediate impact of the crisis.</w:t>
      </w:r>
      <w:r w:rsidR="00E7665A">
        <w:rPr>
          <w:lang w:val="en-US" w:bidi="ar-LB"/>
        </w:rPr>
        <w:t xml:space="preserve"> </w:t>
      </w:r>
      <w:r w:rsidR="00114687">
        <w:rPr>
          <w:lang w:val="en-US" w:bidi="ar-LB"/>
        </w:rPr>
        <w:t>While</w:t>
      </w:r>
      <w:r w:rsidR="00460E41">
        <w:rPr>
          <w:lang w:val="en-US" w:bidi="ar-LB"/>
        </w:rPr>
        <w:t xml:space="preserve"> the performance of European</w:t>
      </w:r>
      <w:r w:rsidR="00114687">
        <w:rPr>
          <w:lang w:val="en-US" w:bidi="ar-LB"/>
        </w:rPr>
        <w:t xml:space="preserve"> countries</w:t>
      </w:r>
      <w:r w:rsidR="00460E41">
        <w:rPr>
          <w:lang w:val="en-US" w:bidi="ar-LB"/>
        </w:rPr>
        <w:t xml:space="preserve"> varied in quality and timeliness</w:t>
      </w:r>
      <w:r w:rsidR="00114687">
        <w:rPr>
          <w:lang w:val="en-US" w:bidi="ar-LB"/>
        </w:rPr>
        <w:t xml:space="preserve">, </w:t>
      </w:r>
      <w:r w:rsidR="00460E41">
        <w:rPr>
          <w:lang w:val="en-US" w:bidi="ar-LB"/>
        </w:rPr>
        <w:t xml:space="preserve">the continent </w:t>
      </w:r>
      <w:r w:rsidR="003433A7">
        <w:rPr>
          <w:lang w:val="en-US" w:bidi="ar-LB"/>
        </w:rPr>
        <w:t xml:space="preserve">has hosted 44% of all cases and </w:t>
      </w:r>
      <w:r w:rsidR="00114687">
        <w:rPr>
          <w:lang w:val="en-US" w:bidi="ar-LB"/>
        </w:rPr>
        <w:t>witnessed close to 60% of total deaths globally</w:t>
      </w:r>
      <w:r w:rsidR="00370424">
        <w:rPr>
          <w:rStyle w:val="EndnoteReference"/>
          <w:lang w:val="en-US" w:bidi="ar-LB"/>
        </w:rPr>
        <w:endnoteReference w:id="6"/>
      </w:r>
      <w:r w:rsidR="003433A7">
        <w:rPr>
          <w:lang w:val="en-US" w:bidi="ar-LB"/>
        </w:rPr>
        <w:t>.</w:t>
      </w:r>
      <w:r w:rsidR="00114687">
        <w:rPr>
          <w:lang w:val="en-US" w:bidi="ar-LB"/>
        </w:rPr>
        <w:t xml:space="preserve"> </w:t>
      </w:r>
      <w:r w:rsidR="00E7665A">
        <w:rPr>
          <w:lang w:val="en-US" w:bidi="ar-LB"/>
        </w:rPr>
        <w:t>European countries and institutions have been criticized</w:t>
      </w:r>
      <w:r w:rsidR="00205F3C">
        <w:rPr>
          <w:rStyle w:val="EndnoteReference"/>
          <w:lang w:val="en-US" w:bidi="ar-LB"/>
        </w:rPr>
        <w:endnoteReference w:id="7"/>
      </w:r>
      <w:r w:rsidR="00E7665A">
        <w:rPr>
          <w:lang w:val="en-US" w:bidi="ar-LB"/>
        </w:rPr>
        <w:t xml:space="preserve"> for weak coordination in their responses, especially in the earlier days of the pandemic. However, the EU has taken several serious response measures</w:t>
      </w:r>
      <w:r w:rsidR="00370424">
        <w:rPr>
          <w:rStyle w:val="EndnoteReference"/>
          <w:lang w:val="en-US" w:bidi="ar-LB"/>
        </w:rPr>
        <w:endnoteReference w:id="8"/>
      </w:r>
      <w:r w:rsidR="00E7665A">
        <w:rPr>
          <w:lang w:val="en-US" w:bidi="ar-LB"/>
        </w:rPr>
        <w:t xml:space="preserve">, including </w:t>
      </w:r>
      <w:r w:rsidR="00403732">
        <w:rPr>
          <w:lang w:val="en-US" w:bidi="ar-LB"/>
        </w:rPr>
        <w:t>allocating</w:t>
      </w:r>
      <w:r w:rsidR="00E7665A">
        <w:rPr>
          <w:lang w:val="en-US" w:bidi="ar-LB"/>
        </w:rPr>
        <w:t xml:space="preserve"> </w:t>
      </w:r>
      <w:r w:rsidR="00333D86">
        <w:rPr>
          <w:lang w:val="en-US" w:bidi="ar-LB"/>
        </w:rPr>
        <w:t xml:space="preserve">$540 billion </w:t>
      </w:r>
      <w:r w:rsidR="00B51D12">
        <w:rPr>
          <w:lang w:val="en-US" w:bidi="ar-LB"/>
        </w:rPr>
        <w:t>in support for European economies</w:t>
      </w:r>
      <w:r w:rsidR="00B51D12">
        <w:rPr>
          <w:rStyle w:val="FootnoteReference"/>
          <w:lang w:val="en-US" w:bidi="ar-LB"/>
        </w:rPr>
        <w:footnoteReference w:id="2"/>
      </w:r>
      <w:r w:rsidR="00B51D12">
        <w:rPr>
          <w:lang w:val="en-US" w:bidi="ar-LB"/>
        </w:rPr>
        <w:t xml:space="preserve">, with </w:t>
      </w:r>
      <w:r w:rsidR="00E7665A">
        <w:rPr>
          <w:lang w:val="en-US" w:bidi="ar-LB"/>
        </w:rPr>
        <w:t>$100 billion</w:t>
      </w:r>
      <w:r w:rsidR="00403732">
        <w:rPr>
          <w:lang w:val="en-US" w:bidi="ar-LB"/>
        </w:rPr>
        <w:t xml:space="preserve"> </w:t>
      </w:r>
      <w:r w:rsidR="00B51D12">
        <w:rPr>
          <w:lang w:val="en-US" w:bidi="ar-LB"/>
        </w:rPr>
        <w:t xml:space="preserve">to fund </w:t>
      </w:r>
      <w:r w:rsidR="00403732">
        <w:rPr>
          <w:lang w:val="en-US" w:bidi="ar-LB"/>
        </w:rPr>
        <w:t>soft loans</w:t>
      </w:r>
      <w:r w:rsidR="00E7665A">
        <w:rPr>
          <w:lang w:val="en-US" w:bidi="ar-LB"/>
        </w:rPr>
        <w:t xml:space="preserve"> </w:t>
      </w:r>
      <w:r w:rsidR="00B51D12">
        <w:rPr>
          <w:lang w:val="en-US" w:bidi="ar-LB"/>
        </w:rPr>
        <w:t>for the</w:t>
      </w:r>
      <w:r w:rsidR="00403732">
        <w:rPr>
          <w:lang w:val="en-US" w:bidi="ar-LB"/>
        </w:rPr>
        <w:t xml:space="preserve"> protect</w:t>
      </w:r>
      <w:r w:rsidR="00B51D12">
        <w:rPr>
          <w:lang w:val="en-US" w:bidi="ar-LB"/>
        </w:rPr>
        <w:t>ion of</w:t>
      </w:r>
      <w:r w:rsidR="00403732">
        <w:rPr>
          <w:lang w:val="en-US" w:bidi="ar-LB"/>
        </w:rPr>
        <w:t xml:space="preserve"> jobs and unemployment benefits </w:t>
      </w:r>
      <w:r w:rsidR="00B51D12">
        <w:rPr>
          <w:lang w:val="en-US" w:bidi="ar-LB"/>
        </w:rPr>
        <w:t xml:space="preserve">on the short term </w:t>
      </w:r>
      <w:r w:rsidR="00403732">
        <w:rPr>
          <w:lang w:val="en-US" w:bidi="ar-LB"/>
        </w:rPr>
        <w:t>in European countries that request support</w:t>
      </w:r>
      <w:r w:rsidR="00370424">
        <w:rPr>
          <w:rStyle w:val="EndnoteReference"/>
          <w:lang w:val="en-US" w:bidi="ar-LB"/>
        </w:rPr>
        <w:endnoteReference w:id="9"/>
      </w:r>
      <w:r w:rsidR="00403732">
        <w:rPr>
          <w:lang w:val="en-US" w:bidi="ar-LB"/>
        </w:rPr>
        <w:t>. T</w:t>
      </w:r>
      <w:r w:rsidR="00403732" w:rsidRPr="00403732">
        <w:rPr>
          <w:lang w:val="en-US" w:bidi="ar-LB"/>
        </w:rPr>
        <w:t xml:space="preserve">he </w:t>
      </w:r>
      <w:r w:rsidR="00403732">
        <w:rPr>
          <w:lang w:val="en-US" w:bidi="ar-LB"/>
        </w:rPr>
        <w:t>union’s focus</w:t>
      </w:r>
      <w:r w:rsidR="00403732" w:rsidRPr="00403732">
        <w:rPr>
          <w:lang w:val="en-US" w:bidi="ar-LB"/>
        </w:rPr>
        <w:t xml:space="preserve"> has </w:t>
      </w:r>
      <w:r w:rsidR="00403732">
        <w:rPr>
          <w:lang w:val="en-US" w:bidi="ar-LB"/>
        </w:rPr>
        <w:t xml:space="preserve">also been </w:t>
      </w:r>
      <w:r w:rsidR="00403732" w:rsidRPr="00403732">
        <w:rPr>
          <w:lang w:val="en-US" w:bidi="ar-LB"/>
        </w:rPr>
        <w:t xml:space="preserve">widened beyond its own borders in dealing with the pandemic’s aftermath, </w:t>
      </w:r>
      <w:r w:rsidR="00403732">
        <w:rPr>
          <w:lang w:val="en-US" w:bidi="ar-LB"/>
        </w:rPr>
        <w:t>with</w:t>
      </w:r>
      <w:r w:rsidR="00403732" w:rsidRPr="00403732">
        <w:rPr>
          <w:lang w:val="en-US" w:bidi="ar-LB"/>
        </w:rPr>
        <w:t xml:space="preserve"> a $20 Billion economic support package</w:t>
      </w:r>
      <w:r w:rsidR="00403732">
        <w:rPr>
          <w:lang w:val="en-US" w:bidi="ar-LB"/>
        </w:rPr>
        <w:t xml:space="preserve"> dedicated</w:t>
      </w:r>
      <w:r w:rsidR="00403732" w:rsidRPr="00403732">
        <w:rPr>
          <w:lang w:val="en-US" w:bidi="ar-LB"/>
        </w:rPr>
        <w:t xml:space="preserve"> to neighboring countries, </w:t>
      </w:r>
      <w:r w:rsidR="00B51D12">
        <w:rPr>
          <w:lang w:val="en-US" w:bidi="ar-LB"/>
        </w:rPr>
        <w:t>including $1.5 billion</w:t>
      </w:r>
      <w:r w:rsidR="00333D86">
        <w:rPr>
          <w:lang w:val="en-US" w:bidi="ar-LB"/>
        </w:rPr>
        <w:t xml:space="preserve"> in short and medium term support </w:t>
      </w:r>
      <w:r w:rsidR="00B51D12">
        <w:rPr>
          <w:lang w:val="en-US" w:bidi="ar-LB"/>
        </w:rPr>
        <w:t xml:space="preserve">for the </w:t>
      </w:r>
      <w:r w:rsidR="00333D86">
        <w:rPr>
          <w:lang w:val="en-US" w:bidi="ar-LB"/>
        </w:rPr>
        <w:t>social and economic recover</w:t>
      </w:r>
      <w:r w:rsidR="00B51D12">
        <w:rPr>
          <w:lang w:val="en-US" w:bidi="ar-LB"/>
        </w:rPr>
        <w:t>y of southern neighbors, and over half a billion to strengthen the</w:t>
      </w:r>
      <w:r w:rsidR="00205F3C">
        <w:rPr>
          <w:lang w:val="en-US" w:bidi="ar-LB"/>
        </w:rPr>
        <w:t>se countries’</w:t>
      </w:r>
      <w:r w:rsidR="00B51D12">
        <w:rPr>
          <w:lang w:val="en-US" w:bidi="ar-LB"/>
        </w:rPr>
        <w:t xml:space="preserve"> health sectors</w:t>
      </w:r>
      <w:r w:rsidR="009D60DF">
        <w:rPr>
          <w:rStyle w:val="EndnoteReference"/>
          <w:lang w:val="en-US" w:bidi="ar-LB"/>
        </w:rPr>
        <w:endnoteReference w:id="10"/>
      </w:r>
      <w:r w:rsidR="00333D86">
        <w:rPr>
          <w:lang w:val="en-US" w:bidi="ar-LB"/>
        </w:rPr>
        <w:t xml:space="preserve">. Moreover, the EU is reallocating resources </w:t>
      </w:r>
      <w:r w:rsidR="00333D86" w:rsidRPr="006B606F">
        <w:rPr>
          <w:lang w:val="en-US" w:bidi="ar-LB"/>
        </w:rPr>
        <w:t>from its ongoing projects in Morocco, Tunisia, Egypt, Jordan and Lebanon towards the national health systems; with the support taking the form of needed equipment or technical assistance</w:t>
      </w:r>
      <w:r w:rsidR="00370424" w:rsidRPr="006B606F">
        <w:rPr>
          <w:rStyle w:val="EndnoteReference"/>
          <w:lang w:val="en-US" w:bidi="ar-LB"/>
        </w:rPr>
        <w:endnoteReference w:id="11"/>
      </w:r>
      <w:r w:rsidR="00333D86" w:rsidRPr="006B606F">
        <w:rPr>
          <w:lang w:val="en-US" w:bidi="ar-LB"/>
        </w:rPr>
        <w:t xml:space="preserve">. </w:t>
      </w:r>
    </w:p>
    <w:p w14:paraId="0380F4B0" w14:textId="77777777" w:rsidR="00460E41" w:rsidRPr="006B606F" w:rsidRDefault="007A658D" w:rsidP="00205F3C">
      <w:pPr>
        <w:jc w:val="both"/>
      </w:pPr>
      <w:r w:rsidRPr="006B606F">
        <w:rPr>
          <w:lang w:val="en-US" w:bidi="ar-LB"/>
        </w:rPr>
        <w:t>While</w:t>
      </w:r>
      <w:r w:rsidR="00205F3C" w:rsidRPr="006B606F">
        <w:rPr>
          <w:lang w:val="en-US" w:bidi="ar-LB"/>
        </w:rPr>
        <w:t xml:space="preserve"> none of the southern neighborhood </w:t>
      </w:r>
      <w:r w:rsidRPr="006B606F">
        <w:rPr>
          <w:lang w:val="en-US" w:bidi="ar-LB"/>
        </w:rPr>
        <w:t xml:space="preserve">countries </w:t>
      </w:r>
      <w:r w:rsidR="00205F3C" w:rsidRPr="006B606F">
        <w:rPr>
          <w:lang w:val="en-US" w:bidi="ar-LB"/>
        </w:rPr>
        <w:t>have made a request for urgent support from the EU</w:t>
      </w:r>
      <w:r w:rsidRPr="006B606F">
        <w:rPr>
          <w:lang w:val="en-US" w:bidi="ar-LB"/>
        </w:rPr>
        <w:t xml:space="preserve">, the situation of their populations remains fragile </w:t>
      </w:r>
      <w:proofErr w:type="gramStart"/>
      <w:r w:rsidRPr="006B606F">
        <w:rPr>
          <w:lang w:val="en-US" w:bidi="ar-LB"/>
        </w:rPr>
        <w:t>in light of</w:t>
      </w:r>
      <w:proofErr w:type="gramEnd"/>
      <w:r w:rsidRPr="006B606F">
        <w:rPr>
          <w:lang w:val="en-US" w:bidi="ar-LB"/>
        </w:rPr>
        <w:t xml:space="preserve"> weak social and </w:t>
      </w:r>
      <w:proofErr w:type="spellStart"/>
      <w:r w:rsidRPr="006B606F">
        <w:rPr>
          <w:lang w:val="en-US" w:bidi="ar-LB"/>
        </w:rPr>
        <w:t>labour</w:t>
      </w:r>
      <w:proofErr w:type="spellEnd"/>
      <w:r w:rsidRPr="006B606F">
        <w:rPr>
          <w:lang w:val="en-US" w:bidi="ar-LB"/>
        </w:rPr>
        <w:t xml:space="preserve"> protection systems. </w:t>
      </w:r>
      <w:r w:rsidRPr="006B606F">
        <w:rPr>
          <w:rFonts w:cstheme="minorHAnsi"/>
          <w:lang w:val="en-US"/>
        </w:rPr>
        <w:t xml:space="preserve">In a </w:t>
      </w:r>
      <w:r w:rsidRPr="006B606F">
        <w:rPr>
          <w:rFonts w:cstheme="minorHAnsi"/>
        </w:rPr>
        <w:t>survey of the member organizations in the Arab NGO Network for Development, w</w:t>
      </w:r>
      <w:r w:rsidRPr="006B606F">
        <w:t xml:space="preserve">orkers in informal employment were reported as the most vulnerable (90%), followed by workers in the private sector (78%), the health sector (60%), and the education sector (37%). </w:t>
      </w:r>
    </w:p>
    <w:p w14:paraId="36557E41" w14:textId="476D2CC8" w:rsidR="00205F3C" w:rsidRPr="006B606F" w:rsidRDefault="007A658D" w:rsidP="00205F3C">
      <w:pPr>
        <w:jc w:val="both"/>
        <w:rPr>
          <w:lang w:val="en-US" w:bidi="ar-LB"/>
        </w:rPr>
      </w:pPr>
      <w:r w:rsidRPr="006B606F">
        <w:t xml:space="preserve">Looking </w:t>
      </w:r>
      <w:r w:rsidR="00460E41" w:rsidRPr="006B606F">
        <w:t>into the future</w:t>
      </w:r>
      <w:r w:rsidRPr="006B606F">
        <w:t>, these countries will need to prioritize the creation of secure jobs and the transformation of their economies onto a more resilient and sustainable path. The role of the EU in this process is yet to be revealed, but it is crucial that more focus is set in EU programs and policies on development objectives that include reducing economic inequalities and improving access to healthcare and stable income, rather than simply</w:t>
      </w:r>
      <w:r w:rsidR="00460E41" w:rsidRPr="006B606F">
        <w:t xml:space="preserve"> on the growth of economies in terms of</w:t>
      </w:r>
      <w:r w:rsidRPr="006B606F">
        <w:t xml:space="preserve"> gross domestic product.</w:t>
      </w:r>
      <w:r w:rsidR="00460E41" w:rsidRPr="006B606F">
        <w:t xml:space="preserve"> This would require engaging local civil society actors and their knowledge on the </w:t>
      </w:r>
      <w:proofErr w:type="gramStart"/>
      <w:r w:rsidR="00460E41" w:rsidRPr="006B606F">
        <w:t>particular gaps</w:t>
      </w:r>
      <w:proofErr w:type="gramEnd"/>
      <w:r w:rsidR="00460E41" w:rsidRPr="006B606F">
        <w:t xml:space="preserve"> and needs of their countries. The multi-faceted nature of the current crisis clearly </w:t>
      </w:r>
      <w:r w:rsidR="00460E41" w:rsidRPr="006B606F">
        <w:lastRenderedPageBreak/>
        <w:t xml:space="preserve">points at the need for customized and wholistic solutions, away from </w:t>
      </w:r>
      <w:proofErr w:type="gramStart"/>
      <w:r w:rsidR="00460E41" w:rsidRPr="006B606F">
        <w:t>any one</w:t>
      </w:r>
      <w:proofErr w:type="gramEnd"/>
      <w:r w:rsidR="00460E41" w:rsidRPr="006B606F">
        <w:t>-size-fits-all</w:t>
      </w:r>
      <w:r w:rsidR="00D77F2B" w:rsidRPr="006B606F">
        <w:t xml:space="preserve"> models or programs. </w:t>
      </w:r>
    </w:p>
    <w:p w14:paraId="6C0583AE" w14:textId="628B7981" w:rsidR="001A08A5" w:rsidRPr="002D2700" w:rsidRDefault="00B51D12" w:rsidP="00486D2B">
      <w:pPr>
        <w:jc w:val="both"/>
        <w:rPr>
          <w:rFonts w:asciiTheme="majorHAnsi" w:hAnsiTheme="majorHAnsi" w:cstheme="majorHAnsi"/>
          <w:b/>
          <w:bCs/>
          <w:sz w:val="26"/>
          <w:szCs w:val="26"/>
          <w:u w:val="single"/>
          <w:lang w:val="en-US" w:bidi="ar-LB"/>
        </w:rPr>
      </w:pPr>
      <w:r w:rsidRPr="002D2700">
        <w:rPr>
          <w:rFonts w:asciiTheme="majorHAnsi" w:hAnsiTheme="majorHAnsi" w:cstheme="majorHAnsi"/>
          <w:b/>
          <w:bCs/>
          <w:sz w:val="26"/>
          <w:szCs w:val="26"/>
          <w:u w:val="single"/>
          <w:lang w:val="en-US" w:bidi="ar-LB"/>
        </w:rPr>
        <w:t>Webinar f</w:t>
      </w:r>
      <w:r w:rsidR="005100CD" w:rsidRPr="002D2700">
        <w:rPr>
          <w:rFonts w:asciiTheme="majorHAnsi" w:hAnsiTheme="majorHAnsi" w:cstheme="majorHAnsi"/>
          <w:b/>
          <w:bCs/>
          <w:sz w:val="26"/>
          <w:szCs w:val="26"/>
          <w:u w:val="single"/>
          <w:lang w:val="en-US" w:bidi="ar-LB"/>
        </w:rPr>
        <w:t>ormat</w:t>
      </w:r>
      <w:r w:rsidR="0003475A" w:rsidRPr="002D2700">
        <w:rPr>
          <w:rFonts w:asciiTheme="majorHAnsi" w:hAnsiTheme="majorHAnsi" w:cstheme="majorHAnsi"/>
          <w:b/>
          <w:bCs/>
          <w:sz w:val="26"/>
          <w:szCs w:val="26"/>
          <w:u w:val="single"/>
          <w:lang w:val="en-US" w:bidi="ar-LB"/>
        </w:rPr>
        <w:t>:</w:t>
      </w:r>
    </w:p>
    <w:p w14:paraId="70138019" w14:textId="1A33E209" w:rsidR="005100CD" w:rsidRPr="00635D9E" w:rsidRDefault="005100CD" w:rsidP="00486D2B">
      <w:pPr>
        <w:jc w:val="both"/>
        <w:rPr>
          <w:lang w:val="en-US" w:bidi="ar-LB"/>
        </w:rPr>
      </w:pPr>
      <w:r>
        <w:rPr>
          <w:lang w:val="en-US" w:bidi="ar-LB"/>
        </w:rPr>
        <w:t xml:space="preserve">The webinar will be a 2.5 hour-long conversational meeting, which will begin by </w:t>
      </w:r>
      <w:r w:rsidR="00973C81">
        <w:rPr>
          <w:lang w:val="en-US" w:bidi="ar-LB"/>
        </w:rPr>
        <w:t xml:space="preserve">an introduction on </w:t>
      </w:r>
      <w:proofErr w:type="spellStart"/>
      <w:r w:rsidR="00973C81">
        <w:rPr>
          <w:lang w:val="en-US" w:bidi="ar-LB"/>
        </w:rPr>
        <w:t>Majalat</w:t>
      </w:r>
      <w:proofErr w:type="spellEnd"/>
      <w:r w:rsidR="00973C81">
        <w:rPr>
          <w:lang w:val="en-US" w:bidi="ar-LB"/>
        </w:rPr>
        <w:t>,</w:t>
      </w:r>
      <w:r w:rsidR="00A22EED">
        <w:rPr>
          <w:lang w:val="en-US" w:bidi="ar-LB"/>
        </w:rPr>
        <w:t xml:space="preserve"> </w:t>
      </w:r>
      <w:r w:rsidR="00973C81">
        <w:rPr>
          <w:lang w:val="en-US" w:bidi="ar-LB"/>
        </w:rPr>
        <w:t>and brief presentations on</w:t>
      </w:r>
      <w:r>
        <w:rPr>
          <w:lang w:val="en-US" w:bidi="ar-LB"/>
        </w:rPr>
        <w:t xml:space="preserve"> the ECOSOC recommendations from the Civil Society Foru</w:t>
      </w:r>
      <w:r w:rsidR="00A22EED">
        <w:rPr>
          <w:lang w:val="en-US" w:bidi="ar-LB"/>
        </w:rPr>
        <w:t xml:space="preserve">m, </w:t>
      </w:r>
      <w:r w:rsidR="00973C81">
        <w:rPr>
          <w:lang w:val="en-US" w:bidi="ar-LB"/>
        </w:rPr>
        <w:t xml:space="preserve">and </w:t>
      </w:r>
      <w:r w:rsidR="00A22EED">
        <w:rPr>
          <w:lang w:val="en-US" w:bidi="ar-LB"/>
        </w:rPr>
        <w:t>on background and context</w:t>
      </w:r>
      <w:r w:rsidR="00973C81">
        <w:rPr>
          <w:lang w:val="en-US" w:bidi="ar-LB"/>
        </w:rPr>
        <w:t xml:space="preserve"> of the webinar</w:t>
      </w:r>
      <w:r w:rsidR="00A22EED">
        <w:rPr>
          <w:lang w:val="en-US" w:bidi="ar-LB"/>
        </w:rPr>
        <w:t>, specifically the COVID-19 pandemic and its effects, and the EU’s response to it.</w:t>
      </w:r>
    </w:p>
    <w:p w14:paraId="09187430" w14:textId="1D49C94F" w:rsidR="00D77F2B" w:rsidRDefault="00A22EED" w:rsidP="002D2700">
      <w:pPr>
        <w:jc w:val="both"/>
        <w:rPr>
          <w:lang w:val="en-US" w:bidi="ar-LB"/>
        </w:rPr>
      </w:pPr>
      <w:r>
        <w:rPr>
          <w:lang w:val="en-US" w:bidi="ar-LB"/>
        </w:rPr>
        <w:t xml:space="preserve">The next hour </w:t>
      </w:r>
      <w:r w:rsidR="00973C81">
        <w:rPr>
          <w:lang w:val="en-US" w:bidi="ar-LB"/>
        </w:rPr>
        <w:t xml:space="preserve">and a half </w:t>
      </w:r>
      <w:r>
        <w:rPr>
          <w:lang w:val="en-US" w:bidi="ar-LB"/>
        </w:rPr>
        <w:t xml:space="preserve">will be dedicated to a discussion, guided by the questions mentioned below, where representative of various CSOs will have the chance to present their analyses of the situation and the lessons they have drawn from it. </w:t>
      </w:r>
      <w:r w:rsidR="00486D2B">
        <w:rPr>
          <w:lang w:val="en-US" w:bidi="ar-LB"/>
        </w:rPr>
        <w:t>After that, the conversation will focus on reviewing the recommendations in more detail, and considering any necessary improvements or changes given the conclusions of the earlier discussion.</w:t>
      </w:r>
    </w:p>
    <w:p w14:paraId="707D6122" w14:textId="1504582E" w:rsidR="00706521" w:rsidRPr="002D2700" w:rsidRDefault="00486D2B" w:rsidP="00706521">
      <w:pPr>
        <w:jc w:val="both"/>
        <w:rPr>
          <w:rFonts w:asciiTheme="majorHAnsi" w:hAnsiTheme="majorHAnsi" w:cstheme="majorHAnsi"/>
          <w:b/>
          <w:bCs/>
          <w:sz w:val="26"/>
          <w:szCs w:val="26"/>
          <w:u w:val="single"/>
          <w:lang w:val="en-US" w:bidi="ar-LB"/>
        </w:rPr>
      </w:pPr>
      <w:r w:rsidRPr="002D2700">
        <w:rPr>
          <w:rFonts w:asciiTheme="majorHAnsi" w:hAnsiTheme="majorHAnsi" w:cstheme="majorHAnsi"/>
          <w:b/>
          <w:bCs/>
          <w:sz w:val="26"/>
          <w:szCs w:val="26"/>
          <w:u w:val="single"/>
          <w:lang w:val="en-US" w:bidi="ar-LB"/>
        </w:rPr>
        <w:t>Guiding questions</w:t>
      </w:r>
      <w:r w:rsidR="00D77F2B" w:rsidRPr="002D2700">
        <w:rPr>
          <w:rFonts w:asciiTheme="majorHAnsi" w:hAnsiTheme="majorHAnsi" w:cstheme="majorHAnsi"/>
          <w:b/>
          <w:bCs/>
          <w:sz w:val="26"/>
          <w:szCs w:val="26"/>
          <w:u w:val="single"/>
          <w:lang w:val="en-US" w:bidi="ar-LB"/>
        </w:rPr>
        <w:t xml:space="preserve"> for the discussion</w:t>
      </w:r>
      <w:r w:rsidRPr="002D2700">
        <w:rPr>
          <w:rFonts w:asciiTheme="majorHAnsi" w:hAnsiTheme="majorHAnsi" w:cstheme="majorHAnsi"/>
          <w:b/>
          <w:bCs/>
          <w:sz w:val="26"/>
          <w:szCs w:val="26"/>
          <w:u w:val="single"/>
          <w:lang w:val="en-US" w:bidi="ar-LB"/>
        </w:rPr>
        <w:t>:</w:t>
      </w:r>
    </w:p>
    <w:p w14:paraId="49518786" w14:textId="77777777" w:rsidR="006B606F" w:rsidRDefault="006B606F" w:rsidP="006B606F">
      <w:pPr>
        <w:pStyle w:val="ListParagraph"/>
        <w:numPr>
          <w:ilvl w:val="0"/>
          <w:numId w:val="3"/>
        </w:numPr>
        <w:jc w:val="both"/>
        <w:rPr>
          <w:lang w:val="en-US" w:bidi="ar-LB"/>
        </w:rPr>
      </w:pPr>
      <w:r>
        <w:rPr>
          <w:lang w:val="en-US" w:bidi="ar-LB"/>
        </w:rPr>
        <w:t>What are our observations on the effects of the pandemic on the economic and social wellbeing of peoples of the region?</w:t>
      </w:r>
    </w:p>
    <w:p w14:paraId="57C8F446" w14:textId="77777777" w:rsidR="006B606F" w:rsidRDefault="006B606F" w:rsidP="006B606F">
      <w:pPr>
        <w:pStyle w:val="ListParagraph"/>
        <w:numPr>
          <w:ilvl w:val="1"/>
          <w:numId w:val="3"/>
        </w:numPr>
        <w:jc w:val="both"/>
        <w:rPr>
          <w:lang w:val="en-US" w:bidi="ar-LB"/>
        </w:rPr>
      </w:pPr>
      <w:r>
        <w:rPr>
          <w:lang w:val="en-US" w:bidi="ar-LB"/>
        </w:rPr>
        <w:t>Specifically, what lessons can be drawn concerning the economic and social policies of national governments? Including in terms of trade, food sovereignty, redistribution, social protection, and the nature and role of the private sector?</w:t>
      </w:r>
    </w:p>
    <w:p w14:paraId="50DCFFE3" w14:textId="273DA2CE" w:rsidR="006B606F" w:rsidRPr="006B606F" w:rsidRDefault="006B606F" w:rsidP="006B606F">
      <w:pPr>
        <w:pStyle w:val="ListParagraph"/>
        <w:numPr>
          <w:ilvl w:val="1"/>
          <w:numId w:val="3"/>
        </w:numPr>
        <w:jc w:val="both"/>
        <w:rPr>
          <w:lang w:val="en-US" w:bidi="ar-LB"/>
        </w:rPr>
      </w:pPr>
      <w:r>
        <w:rPr>
          <w:lang w:val="en-US" w:bidi="ar-LB"/>
        </w:rPr>
        <w:t>Where does the European Union stand on these policies, and what is its potential contribution to their enaction or change? What recommendations can we offer in this context?</w:t>
      </w:r>
    </w:p>
    <w:p w14:paraId="0BCD23F2" w14:textId="650D78B7" w:rsidR="0003475A" w:rsidRDefault="0003475A" w:rsidP="00486D2B">
      <w:pPr>
        <w:pStyle w:val="ListParagraph"/>
        <w:numPr>
          <w:ilvl w:val="0"/>
          <w:numId w:val="3"/>
        </w:numPr>
        <w:jc w:val="both"/>
        <w:rPr>
          <w:lang w:val="en-US" w:bidi="ar-LB"/>
        </w:rPr>
      </w:pPr>
      <w:r w:rsidRPr="0003475A">
        <w:rPr>
          <w:lang w:val="en-US" w:bidi="ar-LB"/>
        </w:rPr>
        <w:t xml:space="preserve">How will </w:t>
      </w:r>
      <w:r>
        <w:rPr>
          <w:lang w:val="en-US" w:bidi="ar-LB"/>
        </w:rPr>
        <w:t>the globalized economy’s crash facing the pandemic affect the European Union’s economic outlook?</w:t>
      </w:r>
    </w:p>
    <w:p w14:paraId="6D03372F" w14:textId="52421BB0" w:rsidR="005100CD" w:rsidRPr="005100CD" w:rsidRDefault="0003475A" w:rsidP="00486D2B">
      <w:pPr>
        <w:pStyle w:val="ListParagraph"/>
        <w:numPr>
          <w:ilvl w:val="0"/>
          <w:numId w:val="3"/>
        </w:numPr>
        <w:jc w:val="both"/>
        <w:rPr>
          <w:lang w:val="en-US" w:bidi="ar-LB"/>
        </w:rPr>
      </w:pPr>
      <w:r>
        <w:rPr>
          <w:lang w:val="en-US" w:bidi="ar-LB"/>
        </w:rPr>
        <w:t>How might Europe’s own economic and social crisis affect the union’s relations with the southern neighbors and its policy orientations towards them?</w:t>
      </w:r>
      <w:r w:rsidR="00706521">
        <w:rPr>
          <w:lang w:val="en-US" w:bidi="ar-LB"/>
        </w:rPr>
        <w:t xml:space="preserve"> </w:t>
      </w:r>
    </w:p>
    <w:p w14:paraId="52888A35" w14:textId="2BDD3C28" w:rsidR="005100CD" w:rsidRDefault="0019697B" w:rsidP="00486D2B">
      <w:pPr>
        <w:pStyle w:val="ListParagraph"/>
        <w:numPr>
          <w:ilvl w:val="0"/>
          <w:numId w:val="3"/>
        </w:numPr>
        <w:jc w:val="both"/>
        <w:rPr>
          <w:lang w:val="en-US" w:bidi="ar-LB"/>
        </w:rPr>
      </w:pPr>
      <w:r>
        <w:rPr>
          <w:lang w:val="en-US" w:bidi="ar-LB"/>
        </w:rPr>
        <w:t>How do we assess</w:t>
      </w:r>
      <w:r w:rsidR="00486D2B">
        <w:rPr>
          <w:lang w:val="en-US" w:bidi="ar-LB"/>
        </w:rPr>
        <w:t xml:space="preserve"> the</w:t>
      </w:r>
      <w:r w:rsidR="005100CD">
        <w:rPr>
          <w:lang w:val="en-US" w:bidi="ar-LB"/>
        </w:rPr>
        <w:t xml:space="preserve"> </w:t>
      </w:r>
      <w:r>
        <w:rPr>
          <w:lang w:val="en-US" w:bidi="ar-LB"/>
        </w:rPr>
        <w:t xml:space="preserve">process in which </w:t>
      </w:r>
      <w:r w:rsidR="005100CD">
        <w:rPr>
          <w:lang w:val="en-US" w:bidi="ar-LB"/>
        </w:rPr>
        <w:t>the EU</w:t>
      </w:r>
      <w:r>
        <w:rPr>
          <w:lang w:val="en-US" w:bidi="ar-LB"/>
        </w:rPr>
        <w:t xml:space="preserve"> is mobilizing </w:t>
      </w:r>
      <w:r w:rsidR="005100CD">
        <w:rPr>
          <w:lang w:val="en-US" w:bidi="ar-LB"/>
        </w:rPr>
        <w:t xml:space="preserve">economic support </w:t>
      </w:r>
      <w:r w:rsidR="00486D2B">
        <w:rPr>
          <w:lang w:val="en-US" w:bidi="ar-LB"/>
        </w:rPr>
        <w:t>packages</w:t>
      </w:r>
      <w:r>
        <w:rPr>
          <w:lang w:val="en-US" w:bidi="ar-LB"/>
        </w:rPr>
        <w:t xml:space="preserve"> </w:t>
      </w:r>
      <w:r w:rsidR="005100CD">
        <w:rPr>
          <w:lang w:val="en-US" w:bidi="ar-LB"/>
        </w:rPr>
        <w:t>to countries in the neighboring south</w:t>
      </w:r>
      <w:r w:rsidR="00486D2B">
        <w:rPr>
          <w:lang w:val="en-US" w:bidi="ar-LB"/>
        </w:rPr>
        <w:t>? Did it</w:t>
      </w:r>
      <w:r>
        <w:rPr>
          <w:lang w:val="en-US" w:bidi="ar-LB"/>
        </w:rPr>
        <w:t xml:space="preserve"> </w:t>
      </w:r>
      <w:r w:rsidR="00486D2B">
        <w:rPr>
          <w:lang w:val="en-US" w:bidi="ar-LB"/>
        </w:rPr>
        <w:t>engage local</w:t>
      </w:r>
      <w:r>
        <w:rPr>
          <w:lang w:val="en-US" w:bidi="ar-LB"/>
        </w:rPr>
        <w:t xml:space="preserve"> civil society</w:t>
      </w:r>
      <w:r w:rsidR="00486D2B">
        <w:rPr>
          <w:lang w:val="en-US" w:bidi="ar-LB"/>
        </w:rPr>
        <w:t xml:space="preserve"> actors</w:t>
      </w:r>
      <w:r w:rsidR="005100CD">
        <w:rPr>
          <w:lang w:val="en-US" w:bidi="ar-LB"/>
        </w:rPr>
        <w:t>?</w:t>
      </w:r>
      <w:r>
        <w:rPr>
          <w:lang w:val="en-US" w:bidi="ar-LB"/>
        </w:rPr>
        <w:t xml:space="preserve"> </w:t>
      </w:r>
      <w:r w:rsidR="00486D2B">
        <w:rPr>
          <w:lang w:val="en-US" w:bidi="ar-LB"/>
        </w:rPr>
        <w:t>What critical observations</w:t>
      </w:r>
      <w:r w:rsidR="00B563B9">
        <w:rPr>
          <w:lang w:val="en-US" w:bidi="ar-LB"/>
        </w:rPr>
        <w:t xml:space="preserve"> and recommendations</w:t>
      </w:r>
      <w:r w:rsidR="00486D2B">
        <w:rPr>
          <w:lang w:val="en-US" w:bidi="ar-LB"/>
        </w:rPr>
        <w:t xml:space="preserve"> can be made on resource allocation, timeliness, impact, or other aspects?</w:t>
      </w:r>
      <w:r w:rsidR="00706521">
        <w:rPr>
          <w:lang w:val="en-US" w:bidi="ar-LB"/>
        </w:rPr>
        <w:t xml:space="preserve"> </w:t>
      </w:r>
    </w:p>
    <w:p w14:paraId="61598D37" w14:textId="11DB73E8" w:rsidR="00FF0698" w:rsidRDefault="00FF0698" w:rsidP="00FF0698">
      <w:pPr>
        <w:pStyle w:val="ListParagraph"/>
        <w:numPr>
          <w:ilvl w:val="1"/>
          <w:numId w:val="3"/>
        </w:numPr>
        <w:jc w:val="both"/>
        <w:rPr>
          <w:lang w:val="en-US" w:bidi="ar-LB"/>
        </w:rPr>
      </w:pPr>
      <w:r>
        <w:rPr>
          <w:rFonts w:ascii="Calibri" w:hAnsi="Calibri" w:cs="Calibri"/>
          <w:color w:val="222222"/>
          <w:shd w:val="clear" w:color="auto" w:fill="FFFFFF"/>
        </w:rPr>
        <w:t>What are the challenges of reorientation of EU funds? Does it bring any trade-offs for the long-term development needs of Southern partner countries? Has there been any needs assessments at Southern partner countries side to coordinate this reallocation/reorientation? What role is played by CSOs?</w:t>
      </w:r>
    </w:p>
    <w:p w14:paraId="0A2B7DC9" w14:textId="016D3131" w:rsidR="00486D2B" w:rsidRDefault="00486D2B" w:rsidP="00486D2B">
      <w:pPr>
        <w:pStyle w:val="ListParagraph"/>
        <w:numPr>
          <w:ilvl w:val="0"/>
          <w:numId w:val="3"/>
        </w:numPr>
        <w:jc w:val="both"/>
        <w:rPr>
          <w:lang w:val="en-US" w:bidi="ar-LB"/>
        </w:rPr>
      </w:pPr>
      <w:r>
        <w:rPr>
          <w:lang w:val="en-US" w:bidi="ar-LB"/>
        </w:rPr>
        <w:t>How well coordinated has the response been between European and neighborhood states? Did we observe the level of coordination required to meet the challenges of the pandemic and its ensuing crises?</w:t>
      </w:r>
    </w:p>
    <w:p w14:paraId="62207448" w14:textId="62B795E1" w:rsidR="0003475A" w:rsidRDefault="0003475A" w:rsidP="00486D2B">
      <w:pPr>
        <w:pStyle w:val="ListParagraph"/>
        <w:numPr>
          <w:ilvl w:val="1"/>
          <w:numId w:val="3"/>
        </w:numPr>
        <w:jc w:val="both"/>
        <w:rPr>
          <w:lang w:val="en-US" w:bidi="ar-LB"/>
        </w:rPr>
      </w:pPr>
      <w:r>
        <w:rPr>
          <w:lang w:val="en-US" w:bidi="ar-LB"/>
        </w:rPr>
        <w:t xml:space="preserve">What form of </w:t>
      </w:r>
      <w:r w:rsidR="00C80AE3">
        <w:rPr>
          <w:lang w:val="en-US" w:bidi="ar-LB"/>
        </w:rPr>
        <w:t>policies and relations with the EU are needed to ensure a solid multi-lateral response to future pandemics in among European and neighborhood countries?</w:t>
      </w:r>
    </w:p>
    <w:p w14:paraId="363D59D0" w14:textId="2BED1D32" w:rsidR="000F6F58" w:rsidRDefault="00706521" w:rsidP="004209D0">
      <w:pPr>
        <w:jc w:val="both"/>
        <w:rPr>
          <w:lang w:val="en-US" w:bidi="ar-LB"/>
        </w:rPr>
      </w:pPr>
      <w:r w:rsidRPr="00B563B9">
        <w:rPr>
          <w:lang w:val="en-US" w:bidi="ar-LB"/>
        </w:rPr>
        <w:lastRenderedPageBreak/>
        <w:t xml:space="preserve"> </w:t>
      </w:r>
    </w:p>
    <w:p w14:paraId="0276FBC8" w14:textId="2AEB6D6A" w:rsidR="000F6F58" w:rsidRPr="002D2700" w:rsidRDefault="000F6F58" w:rsidP="000F6F58">
      <w:pPr>
        <w:jc w:val="both"/>
        <w:rPr>
          <w:rFonts w:asciiTheme="majorHAnsi" w:hAnsiTheme="majorHAnsi" w:cstheme="majorHAnsi"/>
          <w:b/>
          <w:bCs/>
          <w:sz w:val="26"/>
          <w:szCs w:val="26"/>
          <w:u w:val="single"/>
          <w:lang w:val="en-US" w:bidi="ar-LB"/>
        </w:rPr>
      </w:pPr>
      <w:r w:rsidRPr="002D2700">
        <w:rPr>
          <w:rFonts w:asciiTheme="majorHAnsi" w:hAnsiTheme="majorHAnsi" w:cstheme="majorHAnsi"/>
          <w:b/>
          <w:bCs/>
          <w:sz w:val="26"/>
          <w:szCs w:val="26"/>
          <w:u w:val="single"/>
          <w:lang w:val="en-US" w:bidi="ar-LB"/>
        </w:rPr>
        <w:t xml:space="preserve">Annex: Recommendations (ECOSOC) from the Civil Society Forum in </w:t>
      </w:r>
      <w:proofErr w:type="spellStart"/>
      <w:r w:rsidRPr="002D2700">
        <w:rPr>
          <w:rFonts w:asciiTheme="majorHAnsi" w:hAnsiTheme="majorHAnsi" w:cstheme="majorHAnsi"/>
          <w:b/>
          <w:bCs/>
          <w:sz w:val="26"/>
          <w:szCs w:val="26"/>
          <w:u w:val="single"/>
          <w:lang w:val="en-US" w:bidi="ar-LB"/>
        </w:rPr>
        <w:t>Brusssels</w:t>
      </w:r>
      <w:proofErr w:type="spellEnd"/>
      <w:r w:rsidRPr="002D2700">
        <w:rPr>
          <w:rFonts w:asciiTheme="majorHAnsi" w:hAnsiTheme="majorHAnsi" w:cstheme="majorHAnsi"/>
          <w:b/>
          <w:bCs/>
          <w:sz w:val="26"/>
          <w:szCs w:val="26"/>
          <w:u w:val="single"/>
          <w:lang w:val="en-US" w:bidi="ar-LB"/>
        </w:rPr>
        <w:t xml:space="preserve">. </w:t>
      </w:r>
    </w:p>
    <w:p w14:paraId="5E1485B0" w14:textId="77777777" w:rsidR="000F6F58" w:rsidRDefault="000F6F58" w:rsidP="000F6F58">
      <w:pPr>
        <w:jc w:val="both"/>
      </w:pPr>
      <w:r>
        <w:t xml:space="preserve">On the role of the private sector </w:t>
      </w:r>
    </w:p>
    <w:p w14:paraId="1BE92F70" w14:textId="77777777" w:rsidR="000F6F58" w:rsidRDefault="000F6F58" w:rsidP="000F6F58">
      <w:pPr>
        <w:pStyle w:val="ListParagraph"/>
        <w:numPr>
          <w:ilvl w:val="0"/>
          <w:numId w:val="4"/>
        </w:numPr>
        <w:jc w:val="both"/>
      </w:pPr>
      <w:r>
        <w:t>Creating a mechanism to monitor and hold accountable existing and future business enterprises in conflict zones in the Southern Neighbourhood under the reconstruction phase, such as Libya and Syria.</w:t>
      </w:r>
    </w:p>
    <w:p w14:paraId="211EB0EB" w14:textId="62190548" w:rsidR="000F6F58" w:rsidRDefault="000F6F58" w:rsidP="000F6F58">
      <w:pPr>
        <w:pStyle w:val="ListParagraph"/>
        <w:numPr>
          <w:ilvl w:val="0"/>
          <w:numId w:val="4"/>
        </w:numPr>
        <w:jc w:val="both"/>
      </w:pPr>
      <w:r>
        <w:t>Working on promoting transparency and access to information mechanisms in partnership countries and on the level of EU to support a joint monitoring and accountability mechanism</w:t>
      </w:r>
      <w:r w:rsidR="00B563B9">
        <w:t>.</w:t>
      </w:r>
      <w:r>
        <w:t xml:space="preserve"> </w:t>
      </w:r>
    </w:p>
    <w:p w14:paraId="37E62B72" w14:textId="0A98C087" w:rsidR="000F6F58" w:rsidRDefault="000F6F58" w:rsidP="000F6F58">
      <w:pPr>
        <w:jc w:val="both"/>
      </w:pPr>
      <w:r>
        <w:t>On Trade and Investment Policies in the region</w:t>
      </w:r>
    </w:p>
    <w:p w14:paraId="1671E092" w14:textId="77777777" w:rsidR="000F6F58" w:rsidRDefault="000F6F58" w:rsidP="000F6F58">
      <w:pPr>
        <w:pStyle w:val="ListParagraph"/>
        <w:numPr>
          <w:ilvl w:val="0"/>
          <w:numId w:val="4"/>
        </w:numPr>
        <w:jc w:val="both"/>
      </w:pPr>
      <w:r>
        <w:t>Expanding the dialogue between the EU and CSOs and other related parties around the assessment of the ongoing trade talks and on previous policies and trade agreements and their implications on development in order to propose specific alternatives that take into consideration equality, social justice and development priorities in the countries of the Southern Neighbourhood.</w:t>
      </w:r>
    </w:p>
    <w:p w14:paraId="6BF0F790" w14:textId="77777777" w:rsidR="000F6F58" w:rsidRDefault="000F6F58" w:rsidP="000F6F58">
      <w:pPr>
        <w:pStyle w:val="ListParagraph"/>
        <w:numPr>
          <w:ilvl w:val="0"/>
          <w:numId w:val="4"/>
        </w:numPr>
        <w:jc w:val="both"/>
      </w:pPr>
      <w:r>
        <w:t>Organising a structured dialogue between the European Union, partner countries, CSOs and trade unions on the agreements from the region (currently Tunisia) as an integral part of the agreement negotiations. In addition, working on ex-ante impact assessment of trade agreements to evaluate its coherence with other European policies.</w:t>
      </w:r>
    </w:p>
    <w:p w14:paraId="10BFE5FD" w14:textId="77777777" w:rsidR="000F6F58" w:rsidRDefault="000F6F58" w:rsidP="000F6F58">
      <w:pPr>
        <w:pStyle w:val="ListParagraph"/>
        <w:numPr>
          <w:ilvl w:val="0"/>
          <w:numId w:val="4"/>
        </w:numPr>
        <w:jc w:val="both"/>
      </w:pPr>
      <w:r>
        <w:t>Supporting research and development programs for sustainable development in the countries of the Southern Neighbourhood. In addition, supporting knowledge and technological exchange as part of the agreements.</w:t>
      </w:r>
    </w:p>
    <w:p w14:paraId="48C60B59" w14:textId="77777777" w:rsidR="000F6F58" w:rsidRDefault="000F6F58" w:rsidP="000F6F58">
      <w:pPr>
        <w:pStyle w:val="ListParagraph"/>
        <w:numPr>
          <w:ilvl w:val="0"/>
          <w:numId w:val="4"/>
        </w:numPr>
        <w:jc w:val="both"/>
      </w:pPr>
      <w:r>
        <w:t xml:space="preserve">Concerning the ongoing negotiations about the DCFTA with Tunisia, and other foreseen trade agreements: 1) Avoiding removing tariff barriers on internally subsidized goods until the question of European internal support is decided in the WTO considering the US-EU conflict over tariffs. 2) For non-tariff barriers, avoiding using standards and quotas with protectionism objectives for goods that Tunisia </w:t>
      </w:r>
      <w:proofErr w:type="gramStart"/>
      <w:r>
        <w:t>is allowed to</w:t>
      </w:r>
      <w:proofErr w:type="gramEnd"/>
      <w:r>
        <w:t xml:space="preserve"> export. 3) Adopting international monitoring standards </w:t>
      </w:r>
      <w:proofErr w:type="gramStart"/>
      <w:r>
        <w:t>similar to</w:t>
      </w:r>
      <w:proofErr w:type="gramEnd"/>
      <w:r>
        <w:t xml:space="preserve"> those between EU member States, while preserving standards assuring decent work. </w:t>
      </w:r>
    </w:p>
    <w:p w14:paraId="2446BE59" w14:textId="582B5EA9" w:rsidR="004209D0" w:rsidRPr="004209D0" w:rsidRDefault="000F6F58" w:rsidP="004209D0">
      <w:pPr>
        <w:pStyle w:val="ListParagraph"/>
        <w:numPr>
          <w:ilvl w:val="0"/>
          <w:numId w:val="4"/>
        </w:numPr>
        <w:jc w:val="both"/>
        <w:rPr>
          <w:lang w:val="en-US" w:bidi="ar-LB"/>
        </w:rPr>
      </w:pPr>
      <w:r>
        <w:t>Creating a binding multilateral mechanism involving civil society to monitor the impact of European private investment and European transnational corporation companies in Southern Neighbourhood countries, with attention to adapting standards by types of companies, their size, and the sectors in which they invest</w:t>
      </w:r>
    </w:p>
    <w:sectPr w:rsidR="004209D0" w:rsidRPr="004209D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CBAB5" w14:textId="77777777" w:rsidR="00226759" w:rsidRDefault="00226759" w:rsidP="00403732">
      <w:pPr>
        <w:spacing w:after="0" w:line="240" w:lineRule="auto"/>
      </w:pPr>
      <w:r>
        <w:separator/>
      </w:r>
    </w:p>
  </w:endnote>
  <w:endnote w:type="continuationSeparator" w:id="0">
    <w:p w14:paraId="56610574" w14:textId="77777777" w:rsidR="00226759" w:rsidRDefault="00226759" w:rsidP="00403732">
      <w:pPr>
        <w:spacing w:after="0" w:line="240" w:lineRule="auto"/>
      </w:pPr>
      <w:r>
        <w:continuationSeparator/>
      </w:r>
    </w:p>
  </w:endnote>
  <w:endnote w:id="1">
    <w:p w14:paraId="4915A66A" w14:textId="03AA9993" w:rsidR="00370424" w:rsidRPr="00370424" w:rsidRDefault="00370424">
      <w:pPr>
        <w:pStyle w:val="EndnoteText"/>
        <w:rPr>
          <w:lang w:val="en-US"/>
        </w:rPr>
      </w:pPr>
      <w:r>
        <w:rPr>
          <w:rStyle w:val="EndnoteReference"/>
        </w:rPr>
        <w:endnoteRef/>
      </w:r>
      <w:r>
        <w:t xml:space="preserve"> </w:t>
      </w:r>
      <w:r>
        <w:rPr>
          <w:lang w:val="en-US"/>
        </w:rPr>
        <w:t xml:space="preserve">As per the available statistics on May 7. </w:t>
      </w:r>
      <w:hyperlink r:id="rId1" w:history="1">
        <w:r>
          <w:rPr>
            <w:rStyle w:val="Hyperlink"/>
          </w:rPr>
          <w:t>https://www.who.int/docs/default-source/coronaviruse/situation-reports/20200507covid-19-sitrep-108.pdf?sfvrsn=44cc8ed8_2</w:t>
        </w:r>
      </w:hyperlink>
      <w:r>
        <w:t xml:space="preserve"> </w:t>
      </w:r>
      <w:r>
        <w:rPr>
          <w:lang w:val="en-US"/>
        </w:rPr>
        <w:t xml:space="preserve"> </w:t>
      </w:r>
    </w:p>
  </w:endnote>
  <w:endnote w:id="2">
    <w:p w14:paraId="675979D6" w14:textId="6359B6F6" w:rsidR="00460E41" w:rsidRPr="00460E41" w:rsidRDefault="00460E41">
      <w:pPr>
        <w:pStyle w:val="EndnoteText"/>
      </w:pPr>
      <w:r>
        <w:rPr>
          <w:rStyle w:val="EndnoteReference"/>
        </w:rPr>
        <w:endnoteRef/>
      </w:r>
      <w:r>
        <w:t xml:space="preserve"> </w:t>
      </w:r>
      <w:hyperlink r:id="rId2" w:history="1">
        <w:r>
          <w:rPr>
            <w:rStyle w:val="Hyperlink"/>
          </w:rPr>
          <w:t>https://www.dol.gov/ui/data.pdf</w:t>
        </w:r>
      </w:hyperlink>
    </w:p>
  </w:endnote>
  <w:endnote w:id="3">
    <w:p w14:paraId="3B494DD8" w14:textId="6E77C693" w:rsidR="00370424" w:rsidRPr="00370424" w:rsidRDefault="00370424">
      <w:pPr>
        <w:pStyle w:val="EndnoteText"/>
        <w:rPr>
          <w:lang w:val="en-US"/>
        </w:rPr>
      </w:pPr>
      <w:r>
        <w:rPr>
          <w:rStyle w:val="EndnoteReference"/>
        </w:rPr>
        <w:endnoteRef/>
      </w:r>
      <w:r>
        <w:t xml:space="preserve"> </w:t>
      </w:r>
      <w:hyperlink r:id="rId3" w:history="1">
        <w:r>
          <w:rPr>
            <w:rStyle w:val="Hyperlink"/>
          </w:rPr>
          <w:t>https://www.unescwa.org/sites/www.unescwa.org/files/escwa-covid-19-economic-cost-arab-region-en.pdf</w:t>
        </w:r>
      </w:hyperlink>
    </w:p>
  </w:endnote>
  <w:endnote w:id="4">
    <w:p w14:paraId="2AE96718" w14:textId="5BB11D66" w:rsidR="00370424" w:rsidRPr="00370424" w:rsidRDefault="00370424">
      <w:pPr>
        <w:pStyle w:val="EndnoteText"/>
        <w:rPr>
          <w:lang w:val="en-US"/>
        </w:rPr>
      </w:pPr>
      <w:r>
        <w:rPr>
          <w:rStyle w:val="EndnoteReference"/>
        </w:rPr>
        <w:endnoteRef/>
      </w:r>
      <w:r>
        <w:t xml:space="preserve"> </w:t>
      </w:r>
      <w:hyperlink r:id="rId4" w:history="1">
        <w:r w:rsidRPr="003433A7">
          <w:rPr>
            <w:rStyle w:val="Hyperlink"/>
            <w:lang w:val="tr-TR"/>
          </w:rPr>
          <w:t>https://www.arabstates.undp.org/content/rbas/en/home/coronavirus.html</w:t>
        </w:r>
      </w:hyperlink>
    </w:p>
  </w:endnote>
  <w:endnote w:id="5">
    <w:p w14:paraId="056F04DE" w14:textId="1CA6C28E" w:rsidR="009D60DF" w:rsidRPr="009D60DF" w:rsidRDefault="009D60DF">
      <w:pPr>
        <w:pStyle w:val="EndnoteText"/>
        <w:rPr>
          <w:lang w:val="en-US"/>
        </w:rPr>
      </w:pPr>
      <w:r>
        <w:rPr>
          <w:rStyle w:val="EndnoteReference"/>
        </w:rPr>
        <w:endnoteRef/>
      </w:r>
      <w:r>
        <w:t xml:space="preserve"> </w:t>
      </w:r>
      <w:r>
        <w:rPr>
          <w:lang w:val="en-US"/>
        </w:rPr>
        <w:t xml:space="preserve">All the numbers that follow in this paragraph originate from the </w:t>
      </w:r>
      <w:proofErr w:type="spellStart"/>
      <w:r>
        <w:rPr>
          <w:lang w:val="en-US"/>
        </w:rPr>
        <w:t>Worldometers</w:t>
      </w:r>
      <w:proofErr w:type="spellEnd"/>
      <w:r>
        <w:rPr>
          <w:lang w:val="en-US"/>
        </w:rPr>
        <w:t xml:space="preserve"> database, as of May 7 at 20:54 GMT. </w:t>
      </w:r>
    </w:p>
  </w:endnote>
  <w:endnote w:id="6">
    <w:p w14:paraId="07EEC0AB" w14:textId="4C6D7C2A" w:rsidR="00370424" w:rsidRPr="00370424" w:rsidRDefault="00370424">
      <w:pPr>
        <w:pStyle w:val="EndnoteText"/>
        <w:rPr>
          <w:lang w:val="en-US"/>
        </w:rPr>
      </w:pPr>
      <w:r>
        <w:rPr>
          <w:rStyle w:val="EndnoteReference"/>
        </w:rPr>
        <w:endnoteRef/>
      </w:r>
      <w:r>
        <w:t xml:space="preserve"> </w:t>
      </w:r>
      <w:r w:rsidR="009D60DF">
        <w:rPr>
          <w:lang w:val="en-US"/>
        </w:rPr>
        <w:t xml:space="preserve">As per the available statistics on May 7. </w:t>
      </w:r>
      <w:hyperlink r:id="rId5" w:history="1">
        <w:r w:rsidRPr="003433A7">
          <w:rPr>
            <w:rStyle w:val="Hyperlink"/>
            <w:lang w:val="tr-TR"/>
          </w:rPr>
          <w:t>https://www.who.int/docs/default-source/coronaviruse/situation-reports/20200507covid-19-sitrep-108.pdf?sfvrsn=44cc8ed8_2</w:t>
        </w:r>
      </w:hyperlink>
    </w:p>
  </w:endnote>
  <w:endnote w:id="7">
    <w:p w14:paraId="18F55CD6" w14:textId="2F6782C4" w:rsidR="00205F3C" w:rsidRPr="00205F3C" w:rsidRDefault="00205F3C">
      <w:pPr>
        <w:pStyle w:val="EndnoteText"/>
      </w:pPr>
      <w:r>
        <w:rPr>
          <w:rStyle w:val="EndnoteReference"/>
        </w:rPr>
        <w:endnoteRef/>
      </w:r>
      <w:r>
        <w:t xml:space="preserve"> </w:t>
      </w:r>
      <w:hyperlink r:id="rId6" w:history="1">
        <w:r>
          <w:rPr>
            <w:rStyle w:val="Hyperlink"/>
          </w:rPr>
          <w:t>https://www.s4d4c.eu/covid-19-crisis-in-europe-a-failure-of-science-diplomacy/</w:t>
        </w:r>
      </w:hyperlink>
    </w:p>
  </w:endnote>
  <w:endnote w:id="8">
    <w:p w14:paraId="106A7A8D" w14:textId="76941FAC" w:rsidR="00370424" w:rsidRPr="00370424" w:rsidRDefault="00370424">
      <w:pPr>
        <w:pStyle w:val="EndnoteText"/>
        <w:rPr>
          <w:lang w:val="en-US"/>
        </w:rPr>
      </w:pPr>
      <w:r>
        <w:rPr>
          <w:rStyle w:val="EndnoteReference"/>
        </w:rPr>
        <w:endnoteRef/>
      </w:r>
      <w:r>
        <w:t xml:space="preserve"> </w:t>
      </w:r>
      <w:hyperlink r:id="rId7" w:history="1">
        <w:r w:rsidRPr="003433A7">
          <w:rPr>
            <w:rStyle w:val="Hyperlink"/>
            <w:lang w:val="tr-TR"/>
          </w:rPr>
          <w:t>https://www.europarl.europa.eu/news/en/headlines/priorities/eu-response-to-coronavirus/20200327STO76004/10-things-the-eu-is-doing-to-fight-the-coronavirus</w:t>
        </w:r>
      </w:hyperlink>
    </w:p>
  </w:endnote>
  <w:endnote w:id="9">
    <w:p w14:paraId="197D1719" w14:textId="263B64AF" w:rsidR="00370424" w:rsidRPr="00370424" w:rsidRDefault="00370424">
      <w:pPr>
        <w:pStyle w:val="EndnoteText"/>
        <w:rPr>
          <w:lang w:val="en-US"/>
        </w:rPr>
      </w:pPr>
      <w:r>
        <w:rPr>
          <w:rStyle w:val="EndnoteReference"/>
        </w:rPr>
        <w:endnoteRef/>
      </w:r>
      <w:r>
        <w:t xml:space="preserve"> </w:t>
      </w:r>
      <w:hyperlink r:id="rId8" w:history="1">
        <w:r>
          <w:rPr>
            <w:rStyle w:val="Hyperlink"/>
          </w:rPr>
          <w:t>https://www.europarl.europa.eu/news/en/headlines/society/20200416STO77205/covid-19-s-economic-impact-EU100-billion-to-keep-people-in-jobs</w:t>
        </w:r>
      </w:hyperlink>
    </w:p>
  </w:endnote>
  <w:endnote w:id="10">
    <w:p w14:paraId="6135AC52" w14:textId="33677744" w:rsidR="009D60DF" w:rsidRPr="009D60DF" w:rsidRDefault="009D60DF">
      <w:pPr>
        <w:pStyle w:val="EndnoteText"/>
      </w:pPr>
      <w:r>
        <w:rPr>
          <w:rStyle w:val="EndnoteReference"/>
        </w:rPr>
        <w:endnoteRef/>
      </w:r>
      <w:r>
        <w:t xml:space="preserve"> </w:t>
      </w:r>
      <w:hyperlink r:id="rId9" w:history="1">
        <w:r>
          <w:rPr>
            <w:rStyle w:val="Hyperlink"/>
          </w:rPr>
          <w:t>https://ec.europa.eu/neighbourhood-enlargement/sites/near/files/coronavirus_support_south.pdf</w:t>
        </w:r>
      </w:hyperlink>
    </w:p>
  </w:endnote>
  <w:endnote w:id="11">
    <w:p w14:paraId="08525D44" w14:textId="00342E20" w:rsidR="00370424" w:rsidRPr="00370424" w:rsidRDefault="00370424">
      <w:pPr>
        <w:pStyle w:val="EndnoteText"/>
        <w:rPr>
          <w:lang w:val="en-US"/>
        </w:rPr>
      </w:pPr>
      <w:r>
        <w:rPr>
          <w:rStyle w:val="EndnoteReference"/>
        </w:rPr>
        <w:endnoteRef/>
      </w:r>
      <w:r>
        <w:t xml:space="preserve"> </w:t>
      </w:r>
      <w:hyperlink r:id="rId10" w:history="1">
        <w:r w:rsidR="009D60DF">
          <w:rPr>
            <w:rStyle w:val="Hyperlink"/>
          </w:rPr>
          <w:t>ibid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7BDA" w14:textId="2CB927B3" w:rsidR="001341C1" w:rsidRPr="008129C4" w:rsidRDefault="001341C1" w:rsidP="001341C1">
    <w:pPr>
      <w:pStyle w:val="Footer"/>
    </w:pPr>
    <w:r>
      <w:rPr>
        <w:noProof/>
      </w:rPr>
      <w:drawing>
        <wp:anchor distT="0" distB="0" distL="114300" distR="114300" simplePos="0" relativeHeight="251662336" behindDoc="1" locked="0" layoutInCell="1" allowOverlap="1" wp14:anchorId="3083B057" wp14:editId="24423BCC">
          <wp:simplePos x="0" y="0"/>
          <wp:positionH relativeFrom="column">
            <wp:posOffset>-742950</wp:posOffset>
          </wp:positionH>
          <wp:positionV relativeFrom="paragraph">
            <wp:posOffset>-2099945</wp:posOffset>
          </wp:positionV>
          <wp:extent cx="546735" cy="2452370"/>
          <wp:effectExtent l="0" t="0" r="5715" b="5080"/>
          <wp:wrapNone/>
          <wp:docPr id="4" name="image3.jpeg"/>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735" cy="245237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58DF7874" w14:textId="0DA5CD14" w:rsidR="001341C1" w:rsidRDefault="001341C1">
    <w:pPr>
      <w:pStyle w:val="Footer"/>
    </w:pPr>
    <w:r>
      <w:rPr>
        <w:noProof/>
      </w:rPr>
      <w:drawing>
        <wp:anchor distT="0" distB="0" distL="114300" distR="114300" simplePos="0" relativeHeight="251663360" behindDoc="0" locked="0" layoutInCell="1" allowOverlap="1" wp14:anchorId="17C82594" wp14:editId="3CB723DD">
          <wp:simplePos x="0" y="0"/>
          <wp:positionH relativeFrom="column">
            <wp:posOffset>269875</wp:posOffset>
          </wp:positionH>
          <wp:positionV relativeFrom="paragraph">
            <wp:posOffset>161290</wp:posOffset>
          </wp:positionV>
          <wp:extent cx="5399405" cy="561340"/>
          <wp:effectExtent l="0" t="0" r="0" b="0"/>
          <wp:wrapSquare wrapText="bothSides"/>
          <wp:docPr id="3" name="image1.jpeg"/>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rotWithShape="1">
                  <a:blip r:embed="rId2" cstate="print">
                    <a:extLst>
                      <a:ext uri="{BEBA8EAE-BF5A-486C-A8C5-ECC9F3942E4B}">
                        <a14:imgProps xmlns:a14="http://schemas.microsoft.com/office/drawing/2010/main">
                          <a14:imgLayer r:embed="rId3">
                            <a14:imgEffect>
                              <a14:sharpenSoften amount="-13000"/>
                            </a14:imgEffect>
                          </a14:imgLayer>
                        </a14:imgProps>
                      </a:ext>
                      <a:ext uri="{28A0092B-C50C-407E-A947-70E740481C1C}">
                        <a14:useLocalDpi xmlns:a14="http://schemas.microsoft.com/office/drawing/2010/main" val="0"/>
                      </a:ext>
                    </a:extLst>
                  </a:blip>
                  <a:srcRect r="10738"/>
                  <a:stretch/>
                </pic:blipFill>
                <pic:spPr bwMode="auto">
                  <a:xfrm>
                    <a:off x="0" y="0"/>
                    <a:ext cx="5399405" cy="561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B7694" w14:textId="77777777" w:rsidR="00226759" w:rsidRDefault="00226759" w:rsidP="00403732">
      <w:pPr>
        <w:spacing w:after="0" w:line="240" w:lineRule="auto"/>
      </w:pPr>
      <w:r>
        <w:separator/>
      </w:r>
    </w:p>
  </w:footnote>
  <w:footnote w:type="continuationSeparator" w:id="0">
    <w:p w14:paraId="73FB1993" w14:textId="77777777" w:rsidR="00226759" w:rsidRDefault="00226759" w:rsidP="00403732">
      <w:pPr>
        <w:spacing w:after="0" w:line="240" w:lineRule="auto"/>
      </w:pPr>
      <w:r>
        <w:continuationSeparator/>
      </w:r>
    </w:p>
  </w:footnote>
  <w:footnote w:id="1">
    <w:p w14:paraId="596D9B52" w14:textId="3D4873F3" w:rsidR="004F6BF4" w:rsidRPr="004F6BF4" w:rsidRDefault="004F6BF4">
      <w:pPr>
        <w:pStyle w:val="FootnoteText"/>
      </w:pPr>
      <w:r>
        <w:rPr>
          <w:rStyle w:val="FootnoteReference"/>
        </w:rPr>
        <w:footnoteRef/>
      </w:r>
      <w:r>
        <w:t xml:space="preserve"> The ECOSOC recommendations from the Civil Society Forum can be found in the annex below. </w:t>
      </w:r>
    </w:p>
  </w:footnote>
  <w:footnote w:id="2">
    <w:p w14:paraId="38795FC1" w14:textId="77777777" w:rsidR="00B51D12" w:rsidRPr="00403732" w:rsidRDefault="00B51D12" w:rsidP="00B51D12">
      <w:pPr>
        <w:pStyle w:val="FootnoteText"/>
      </w:pPr>
      <w:r>
        <w:rPr>
          <w:rStyle w:val="FootnoteReference"/>
        </w:rPr>
        <w:footnoteRef/>
      </w:r>
      <w:r>
        <w:t xml:space="preserve"> To put it in perspective, this amount constitutes exactly four times three quarters of the money invested by the U.S. in Europe as part of the Marshall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425942"/>
      <w:docPartObj>
        <w:docPartGallery w:val="Page Numbers (Top of Page)"/>
        <w:docPartUnique/>
      </w:docPartObj>
    </w:sdtPr>
    <w:sdtEndPr/>
    <w:sdtContent>
      <w:p w14:paraId="7CC88E36" w14:textId="1E0B1D36" w:rsidR="001341C1" w:rsidRPr="00EC7B13" w:rsidRDefault="001341C1" w:rsidP="001341C1">
        <w:pPr>
          <w:pStyle w:val="Header"/>
          <w:jc w:val="right"/>
        </w:pPr>
        <w:r>
          <w:rPr>
            <w:noProof/>
          </w:rPr>
          <w:drawing>
            <wp:anchor distT="0" distB="0" distL="114300" distR="114300" simplePos="0" relativeHeight="251659264" behindDoc="0" locked="0" layoutInCell="1" allowOverlap="0" wp14:anchorId="305DB10D" wp14:editId="17CDE349">
              <wp:simplePos x="0" y="0"/>
              <wp:positionH relativeFrom="column">
                <wp:posOffset>-222250</wp:posOffset>
              </wp:positionH>
              <wp:positionV relativeFrom="paragraph">
                <wp:posOffset>-303530</wp:posOffset>
              </wp:positionV>
              <wp:extent cx="914400" cy="934085"/>
              <wp:effectExtent l="0" t="0" r="0" b="0"/>
              <wp:wrapSquare wrapText="left"/>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34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504B709" wp14:editId="0E6BEFA6">
              <wp:simplePos x="0" y="0"/>
              <wp:positionH relativeFrom="column">
                <wp:posOffset>5251450</wp:posOffset>
              </wp:positionH>
              <wp:positionV relativeFrom="paragraph">
                <wp:posOffset>-234950</wp:posOffset>
              </wp:positionV>
              <wp:extent cx="928800" cy="838800"/>
              <wp:effectExtent l="0" t="0" r="5080" b="0"/>
              <wp:wrapSquare wrapText="right"/>
              <wp:docPr id="10" name="image2.jpeg"/>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8800" cy="838800"/>
                      </a:xfrm>
                      <a:prstGeom prst="rect">
                        <a:avLst/>
                      </a:prstGeom>
                    </pic:spPr>
                  </pic:pic>
                </a:graphicData>
              </a:graphic>
              <wp14:sizeRelH relativeFrom="margin">
                <wp14:pctWidth>0</wp14:pctWidth>
              </wp14:sizeRelH>
              <wp14:sizeRelV relativeFrom="margin">
                <wp14:pctHeight>0</wp14:pctHeight>
              </wp14:sizeRelV>
            </wp:anchor>
          </w:drawing>
        </w:r>
      </w:p>
    </w:sdtContent>
  </w:sdt>
  <w:p w14:paraId="402180CF" w14:textId="77777777" w:rsidR="001341C1" w:rsidRDefault="00134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6252"/>
    <w:multiLevelType w:val="hybridMultilevel"/>
    <w:tmpl w:val="65500CAC"/>
    <w:lvl w:ilvl="0" w:tplc="9EF80E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87D52DC"/>
    <w:multiLevelType w:val="hybridMultilevel"/>
    <w:tmpl w:val="1332EA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806B25"/>
    <w:multiLevelType w:val="hybridMultilevel"/>
    <w:tmpl w:val="8D5C7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6A726C4"/>
    <w:multiLevelType w:val="hybridMultilevel"/>
    <w:tmpl w:val="D8385B62"/>
    <w:lvl w:ilvl="0" w:tplc="9EF80E5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88"/>
    <w:rsid w:val="000051D5"/>
    <w:rsid w:val="0003475A"/>
    <w:rsid w:val="00051D09"/>
    <w:rsid w:val="000F6F58"/>
    <w:rsid w:val="00113533"/>
    <w:rsid w:val="00114687"/>
    <w:rsid w:val="001341C1"/>
    <w:rsid w:val="0017667D"/>
    <w:rsid w:val="0019697B"/>
    <w:rsid w:val="001A08A5"/>
    <w:rsid w:val="00205F3C"/>
    <w:rsid w:val="00226759"/>
    <w:rsid w:val="002368E5"/>
    <w:rsid w:val="002D2700"/>
    <w:rsid w:val="00333D86"/>
    <w:rsid w:val="003433A7"/>
    <w:rsid w:val="00370424"/>
    <w:rsid w:val="0037137C"/>
    <w:rsid w:val="00395984"/>
    <w:rsid w:val="003D19A9"/>
    <w:rsid w:val="00403732"/>
    <w:rsid w:val="004209D0"/>
    <w:rsid w:val="00460E41"/>
    <w:rsid w:val="00486D2B"/>
    <w:rsid w:val="004A02E4"/>
    <w:rsid w:val="004B6C2E"/>
    <w:rsid w:val="004F6BF4"/>
    <w:rsid w:val="005100CD"/>
    <w:rsid w:val="005A580B"/>
    <w:rsid w:val="00635D9E"/>
    <w:rsid w:val="006B606F"/>
    <w:rsid w:val="00706521"/>
    <w:rsid w:val="007A658D"/>
    <w:rsid w:val="007C67F8"/>
    <w:rsid w:val="00893D7F"/>
    <w:rsid w:val="009203E3"/>
    <w:rsid w:val="00973C81"/>
    <w:rsid w:val="009C5970"/>
    <w:rsid w:val="009D60DF"/>
    <w:rsid w:val="009E3EA7"/>
    <w:rsid w:val="00A16678"/>
    <w:rsid w:val="00A22EED"/>
    <w:rsid w:val="00A55F63"/>
    <w:rsid w:val="00B51D12"/>
    <w:rsid w:val="00B563B9"/>
    <w:rsid w:val="00B86496"/>
    <w:rsid w:val="00BD0A88"/>
    <w:rsid w:val="00C66857"/>
    <w:rsid w:val="00C72C2D"/>
    <w:rsid w:val="00C80AE3"/>
    <w:rsid w:val="00CB1101"/>
    <w:rsid w:val="00D77F2B"/>
    <w:rsid w:val="00E7665A"/>
    <w:rsid w:val="00ED064F"/>
    <w:rsid w:val="00EE2270"/>
    <w:rsid w:val="00F6134C"/>
    <w:rsid w:val="00FC616E"/>
    <w:rsid w:val="00FF0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861A"/>
  <w15:chartTrackingRefBased/>
  <w15:docId w15:val="{81746F3E-57BE-40BF-8FF5-CAB25B85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6E"/>
    <w:rPr>
      <w:rFonts w:ascii="Segoe UI" w:hAnsi="Segoe UI" w:cs="Segoe UI"/>
      <w:sz w:val="18"/>
      <w:szCs w:val="18"/>
    </w:rPr>
  </w:style>
  <w:style w:type="paragraph" w:styleId="ListParagraph">
    <w:name w:val="List Paragraph"/>
    <w:basedOn w:val="Normal"/>
    <w:uiPriority w:val="34"/>
    <w:qFormat/>
    <w:rsid w:val="001A08A5"/>
    <w:pPr>
      <w:ind w:left="720"/>
      <w:contextualSpacing/>
    </w:pPr>
  </w:style>
  <w:style w:type="character" w:styleId="CommentReference">
    <w:name w:val="annotation reference"/>
    <w:basedOn w:val="DefaultParagraphFont"/>
    <w:uiPriority w:val="99"/>
    <w:semiHidden/>
    <w:unhideWhenUsed/>
    <w:rsid w:val="000051D5"/>
    <w:rPr>
      <w:sz w:val="16"/>
      <w:szCs w:val="16"/>
    </w:rPr>
  </w:style>
  <w:style w:type="paragraph" w:styleId="CommentText">
    <w:name w:val="annotation text"/>
    <w:basedOn w:val="Normal"/>
    <w:link w:val="CommentTextChar"/>
    <w:uiPriority w:val="99"/>
    <w:semiHidden/>
    <w:unhideWhenUsed/>
    <w:rsid w:val="000051D5"/>
    <w:pPr>
      <w:spacing w:line="240" w:lineRule="auto"/>
    </w:pPr>
    <w:rPr>
      <w:sz w:val="20"/>
      <w:szCs w:val="20"/>
    </w:rPr>
  </w:style>
  <w:style w:type="character" w:customStyle="1" w:styleId="CommentTextChar">
    <w:name w:val="Comment Text Char"/>
    <w:basedOn w:val="DefaultParagraphFont"/>
    <w:link w:val="CommentText"/>
    <w:uiPriority w:val="99"/>
    <w:semiHidden/>
    <w:rsid w:val="000051D5"/>
    <w:rPr>
      <w:sz w:val="20"/>
      <w:szCs w:val="20"/>
    </w:rPr>
  </w:style>
  <w:style w:type="paragraph" w:styleId="CommentSubject">
    <w:name w:val="annotation subject"/>
    <w:basedOn w:val="CommentText"/>
    <w:next w:val="CommentText"/>
    <w:link w:val="CommentSubjectChar"/>
    <w:uiPriority w:val="99"/>
    <w:semiHidden/>
    <w:unhideWhenUsed/>
    <w:rsid w:val="000051D5"/>
    <w:rPr>
      <w:b/>
      <w:bCs/>
    </w:rPr>
  </w:style>
  <w:style w:type="character" w:customStyle="1" w:styleId="CommentSubjectChar">
    <w:name w:val="Comment Subject Char"/>
    <w:basedOn w:val="CommentTextChar"/>
    <w:link w:val="CommentSubject"/>
    <w:uiPriority w:val="99"/>
    <w:semiHidden/>
    <w:rsid w:val="000051D5"/>
    <w:rPr>
      <w:b/>
      <w:bCs/>
      <w:sz w:val="20"/>
      <w:szCs w:val="20"/>
    </w:rPr>
  </w:style>
  <w:style w:type="paragraph" w:styleId="FootnoteText">
    <w:name w:val="footnote text"/>
    <w:basedOn w:val="Normal"/>
    <w:link w:val="FootnoteTextChar"/>
    <w:uiPriority w:val="99"/>
    <w:semiHidden/>
    <w:unhideWhenUsed/>
    <w:rsid w:val="00403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732"/>
    <w:rPr>
      <w:sz w:val="20"/>
      <w:szCs w:val="20"/>
    </w:rPr>
  </w:style>
  <w:style w:type="character" w:styleId="FootnoteReference">
    <w:name w:val="footnote reference"/>
    <w:basedOn w:val="DefaultParagraphFont"/>
    <w:uiPriority w:val="99"/>
    <w:semiHidden/>
    <w:unhideWhenUsed/>
    <w:rsid w:val="00403732"/>
    <w:rPr>
      <w:vertAlign w:val="superscript"/>
    </w:rPr>
  </w:style>
  <w:style w:type="character" w:styleId="Hyperlink">
    <w:name w:val="Hyperlink"/>
    <w:basedOn w:val="DefaultParagraphFont"/>
    <w:uiPriority w:val="99"/>
    <w:semiHidden/>
    <w:unhideWhenUsed/>
    <w:rsid w:val="00403732"/>
    <w:rPr>
      <w:color w:val="0000FF"/>
      <w:u w:val="single"/>
    </w:rPr>
  </w:style>
  <w:style w:type="character" w:styleId="FollowedHyperlink">
    <w:name w:val="FollowedHyperlink"/>
    <w:basedOn w:val="DefaultParagraphFont"/>
    <w:uiPriority w:val="99"/>
    <w:semiHidden/>
    <w:unhideWhenUsed/>
    <w:rsid w:val="00333D86"/>
    <w:rPr>
      <w:color w:val="954F72" w:themeColor="followedHyperlink"/>
      <w:u w:val="single"/>
    </w:rPr>
  </w:style>
  <w:style w:type="paragraph" w:styleId="EndnoteText">
    <w:name w:val="endnote text"/>
    <w:basedOn w:val="Normal"/>
    <w:link w:val="EndnoteTextChar"/>
    <w:uiPriority w:val="99"/>
    <w:semiHidden/>
    <w:unhideWhenUsed/>
    <w:rsid w:val="003704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424"/>
    <w:rPr>
      <w:sz w:val="20"/>
      <w:szCs w:val="20"/>
    </w:rPr>
  </w:style>
  <w:style w:type="character" w:styleId="EndnoteReference">
    <w:name w:val="endnote reference"/>
    <w:basedOn w:val="DefaultParagraphFont"/>
    <w:uiPriority w:val="99"/>
    <w:semiHidden/>
    <w:unhideWhenUsed/>
    <w:rsid w:val="00370424"/>
    <w:rPr>
      <w:vertAlign w:val="superscript"/>
    </w:rPr>
  </w:style>
  <w:style w:type="paragraph" w:styleId="Header">
    <w:name w:val="header"/>
    <w:basedOn w:val="Normal"/>
    <w:link w:val="HeaderChar"/>
    <w:uiPriority w:val="99"/>
    <w:unhideWhenUsed/>
    <w:rsid w:val="00134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1C1"/>
  </w:style>
  <w:style w:type="paragraph" w:styleId="Footer">
    <w:name w:val="footer"/>
    <w:basedOn w:val="Normal"/>
    <w:link w:val="FooterChar"/>
    <w:uiPriority w:val="99"/>
    <w:unhideWhenUsed/>
    <w:rsid w:val="00134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www.europarl.europa.eu/news/en/headlines/society/20200416STO77205/covid-19-s-economic-impact-EU100-billion-to-keep-people-in-jobs" TargetMode="External"/><Relationship Id="rId3" Type="http://schemas.openxmlformats.org/officeDocument/2006/relationships/hyperlink" Target="https://www.unescwa.org/sites/www.unescwa.org/files/escwa-covid-19-economic-cost-arab-region-en.pdf" TargetMode="External"/><Relationship Id="rId7" Type="http://schemas.openxmlformats.org/officeDocument/2006/relationships/hyperlink" Target="https://www.europarl.europa.eu/news/en/headlines/priorities/eu-response-to-coronavirus/20200327STO76004/10-things-the-eu-is-doing-to-fight-the-coronavirus" TargetMode="External"/><Relationship Id="rId2" Type="http://schemas.openxmlformats.org/officeDocument/2006/relationships/hyperlink" Target="https://www.dol.gov/ui/data.pdf" TargetMode="External"/><Relationship Id="rId1" Type="http://schemas.openxmlformats.org/officeDocument/2006/relationships/hyperlink" Target="https://www.who.int/docs/default-source/coronaviruse/situation-reports/20200507covid-19-sitrep-108.pdf?sfvrsn=44cc8ed8_2" TargetMode="External"/><Relationship Id="rId6" Type="http://schemas.openxmlformats.org/officeDocument/2006/relationships/hyperlink" Target="https://www.s4d4c.eu/covid-19-crisis-in-europe-a-failure-of-science-diplomacy/" TargetMode="External"/><Relationship Id="rId5" Type="http://schemas.openxmlformats.org/officeDocument/2006/relationships/hyperlink" Target="https://www.who.int/docs/default-source/coronaviruse/situation-reports/20200507covid-19-sitrep-108.pdf?sfvrsn=44cc8ed8_2" TargetMode="External"/><Relationship Id="rId10" Type="http://schemas.openxmlformats.org/officeDocument/2006/relationships/hyperlink" Target="https://ec.europa.eu/neighbourhood-enlargement/sites/near/files/coronavirus_support_south.pdf" TargetMode="External"/><Relationship Id="rId4" Type="http://schemas.openxmlformats.org/officeDocument/2006/relationships/hyperlink" Target="https://www.arabstates.undp.org/content/rbas/en/home/coronavirus.html" TargetMode="External"/><Relationship Id="rId9" Type="http://schemas.openxmlformats.org/officeDocument/2006/relationships/hyperlink" Target="https://ec.europa.eu/neighbourhood-enlargement/sites/near/files/coronavirus_support_south.pdf" TargetMode="Externa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B8D2023498A44B89E6E7755CB70E66" ma:contentTypeVersion="12" ma:contentTypeDescription="Create a new document." ma:contentTypeScope="" ma:versionID="bf69a6abacdc0154d4ad41c1ccc2196e">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0e8c2fea34f085137b3d0e22719ba7b5"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AE3CE-4347-4FFA-976F-BF5D7E57D449}">
  <ds:schemaRefs>
    <ds:schemaRef ds:uri="http://schemas.openxmlformats.org/officeDocument/2006/bibliography"/>
  </ds:schemaRefs>
</ds:datastoreItem>
</file>

<file path=customXml/itemProps2.xml><?xml version="1.0" encoding="utf-8"?>
<ds:datastoreItem xmlns:ds="http://schemas.openxmlformats.org/officeDocument/2006/customXml" ds:itemID="{8751AB2A-EDCC-4AD3-9FFF-3CD2DC47F967}"/>
</file>

<file path=customXml/itemProps3.xml><?xml version="1.0" encoding="utf-8"?>
<ds:datastoreItem xmlns:ds="http://schemas.openxmlformats.org/officeDocument/2006/customXml" ds:itemID="{DEA07D90-D944-4820-B062-5A9AB6051A88}"/>
</file>

<file path=customXml/itemProps4.xml><?xml version="1.0" encoding="utf-8"?>
<ds:datastoreItem xmlns:ds="http://schemas.openxmlformats.org/officeDocument/2006/customXml" ds:itemID="{185D7595-33BF-442D-AB22-E0A0D3A1B870}"/>
</file>

<file path=docProps/app.xml><?xml version="1.0" encoding="utf-8"?>
<Properties xmlns="http://schemas.openxmlformats.org/officeDocument/2006/extended-properties" xmlns:vt="http://schemas.openxmlformats.org/officeDocument/2006/docPropsVTypes">
  <Template>Normal</Template>
  <TotalTime>152</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Hassan</dc:creator>
  <cp:keywords/>
  <dc:description/>
  <cp:lastModifiedBy>Nizar Hassan</cp:lastModifiedBy>
  <cp:revision>5</cp:revision>
  <cp:lastPrinted>2020-05-15T11:24:00Z</cp:lastPrinted>
  <dcterms:created xsi:type="dcterms:W3CDTF">2020-05-13T15:33:00Z</dcterms:created>
  <dcterms:modified xsi:type="dcterms:W3CDTF">2020-05-15T11:25:00Z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0x01010084B8D2023498A44B89E6E7755CB70E66</vt:lpwstr>
  </property>
</Properties>
</file>