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الجلسة</w:t>
      </w:r>
      <w:r w:rsidDel="00000000" w:rsidR="00000000" w:rsidRPr="00000000">
        <w:rPr>
          <w:b w:val="1"/>
          <w:sz w:val="28"/>
          <w:szCs w:val="28"/>
          <w:rtl w:val="1"/>
        </w:rPr>
        <w:t xml:space="preserve"> 2: "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مصير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الديمقراطية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والسلام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منطقة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الأوسط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وشمال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إفريقيا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؟"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: 30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تشرين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نوفمبر</w:t>
      </w:r>
      <w:r w:rsidDel="00000000" w:rsidR="00000000" w:rsidRPr="00000000">
        <w:rPr>
          <w:b w:val="1"/>
          <w:sz w:val="28"/>
          <w:szCs w:val="28"/>
          <w:rtl w:val="1"/>
        </w:rPr>
        <w:t xml:space="preserve"> 2020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التوقيت</w:t>
      </w:r>
      <w:r w:rsidDel="00000000" w:rsidR="00000000" w:rsidRPr="00000000">
        <w:rPr>
          <w:b w:val="1"/>
          <w:sz w:val="28"/>
          <w:szCs w:val="28"/>
          <w:rtl w:val="1"/>
        </w:rPr>
        <w:t xml:space="preserve">: 16:00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بتوقيت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بيروت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ورقة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مفاهيمية</w:t>
      </w:r>
    </w:p>
    <w:p w:rsidR="00000000" w:rsidDel="00000000" w:rsidP="00000000" w:rsidRDefault="00000000" w:rsidRPr="00000000" w14:paraId="00000005">
      <w:pPr>
        <w:bidi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ملخص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كوفيد</w:t>
      </w:r>
      <w:r w:rsidDel="00000000" w:rsidR="00000000" w:rsidRPr="00000000">
        <w:rPr>
          <w:rtl w:val="1"/>
        </w:rPr>
        <w:t xml:space="preserve"> -19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مجالات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والجوار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المفروضة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الإطار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الجنوبي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تشرين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نوفمبر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كانون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ديسمبر</w:t>
      </w:r>
      <w:r w:rsidDel="00000000" w:rsidR="00000000" w:rsidRPr="00000000">
        <w:rPr>
          <w:rtl w:val="1"/>
        </w:rPr>
        <w:t xml:space="preserve"> 2020. </w:t>
      </w:r>
      <w:r w:rsidDel="00000000" w:rsidR="00000000" w:rsidRPr="00000000">
        <w:rPr>
          <w:rtl w:val="1"/>
        </w:rPr>
        <w:t xml:space="preserve">ستقوم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الديمقراطية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إفريقيا</w:t>
      </w:r>
      <w:r w:rsidDel="00000000" w:rsidR="00000000" w:rsidRPr="00000000">
        <w:rPr>
          <w:rtl w:val="1"/>
        </w:rPr>
        <w:t xml:space="preserve">؟"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إسرائيل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والصراعات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الجيوسياسية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الساخنة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الخلفية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والسياق</w:t>
      </w:r>
    </w:p>
    <w:p w:rsidR="00000000" w:rsidDel="00000000" w:rsidP="00000000" w:rsidRDefault="00000000" w:rsidRPr="00000000" w14:paraId="00000009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صفقات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التطبيع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شهدت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إسرائيل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والسودان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إسرائيل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مفاوضات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يناضلون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خذلهم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جيرانهم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التطبيع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جاءت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صفقة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ترامب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الفاشلة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إسرائيلية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منحازة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بوضوح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إسرائيل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اسرائيل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الأثناء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خططها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بنيامين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نتنياهو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مناهض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لدونالد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ترامب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بإسرائيل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بالصراع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الإسرائيلي</w:t>
      </w:r>
      <w:r w:rsidDel="00000000" w:rsidR="00000000" w:rsidRPr="00000000">
        <w:rPr>
          <w:rtl w:val="1"/>
        </w:rPr>
        <w:t xml:space="preserve">"؟ </w:t>
      </w:r>
      <w:r w:rsidDel="00000000" w:rsidR="00000000" w:rsidRPr="00000000">
        <w:rPr>
          <w:rtl w:val="1"/>
        </w:rPr>
        <w:t xml:space="preserve">والأهم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للفلسطينيين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المفاوضات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مفاوضات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والإسرائيليين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ترجيح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الإسرائيلية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متزايد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الصراعات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الجيوسياسية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الجيوسياسي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الممتدة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وليبيا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استثمرتها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وإقليمية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بالوكالة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وتصاعد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فرنسا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وتركيا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ماكرون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العداوات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الانتباه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الحركات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الشعبية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والديمقراطية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مسرح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لانتفاضات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والعراق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للمحسوبية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والاستبداد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والبطالة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والجغرافيا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والأيديولوجيا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يلحظ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الناشطين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المعارضة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المتظاهرين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والاعتقالات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وحافظت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مقاربتها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مؤخر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وانتهاكات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يواجهون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بالإرهاب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بالسجن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أسئلة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للجلسة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أمامها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وكيف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التداعيات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للتطبيع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وجيرانهم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الدولتين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والمنطقة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والجهات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الإقليمية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إيران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وتركيا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والخليج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وإسرائيل</w:t>
      </w:r>
      <w:r w:rsidDel="00000000" w:rsidR="00000000" w:rsidRPr="00000000">
        <w:rPr>
          <w:rtl w:val="1"/>
        </w:rPr>
        <w:t xml:space="preserve">)؟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والعدالة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after="0" w:afterAutospacing="0"/>
        <w:ind w:left="720" w:hanging="360"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الأمريكية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spacing w:after="0" w:afterAutospacing="0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spacing w:after="0" w:afterAutospacing="0"/>
        <w:ind w:left="720" w:hanging="360"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لتطلعات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spacing w:after="0" w:afterAutospacing="0"/>
        <w:ind w:left="720" w:hanging="360"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إفريقيا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إيران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سوريا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ليبيا</w:t>
      </w:r>
      <w:r w:rsidDel="00000000" w:rsidR="00000000" w:rsidRPr="00000000">
        <w:rPr>
          <w:rtl w:val="1"/>
        </w:rPr>
        <w:t xml:space="preserve">)؟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after="0" w:afterAutospacing="0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زالت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الناعمة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للاتحاد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after="0" w:afterAutospacing="0"/>
        <w:ind w:left="720" w:hanging="360"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after="0" w:afterAutospacing="0"/>
        <w:ind w:left="720" w:hanging="360"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الديمقراطي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يتقلص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spacing w:after="0" w:afterAutospacing="0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والحريات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الجنوبي</w:t>
      </w:r>
      <w:r w:rsidDel="00000000" w:rsidR="00000000" w:rsidRPr="00000000">
        <w:rPr>
          <w:rtl w:val="1"/>
        </w:rPr>
        <w:t xml:space="preserve">؟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-742949</wp:posOffset>
          </wp:positionH>
          <wp:positionV relativeFrom="paragraph">
            <wp:posOffset>-2099944</wp:posOffset>
          </wp:positionV>
          <wp:extent cx="546735" cy="2452370"/>
          <wp:effectExtent b="0" l="0" r="0" t="0"/>
          <wp:wrapSquare wrapText="bothSides" distB="0" distT="0" distL="0" distR="0"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735" cy="24523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269875</wp:posOffset>
          </wp:positionH>
          <wp:positionV relativeFrom="paragraph">
            <wp:posOffset>161290</wp:posOffset>
          </wp:positionV>
          <wp:extent cx="5399405" cy="561340"/>
          <wp:effectExtent b="0" l="0" r="0" t="0"/>
          <wp:wrapSquare wrapText="bothSides" distB="0" distT="0" distL="114300" distR="11430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10738" t="0"/>
                  <a:stretch>
                    <a:fillRect/>
                  </a:stretch>
                </pic:blipFill>
                <pic:spPr>
                  <a:xfrm>
                    <a:off x="0" y="0"/>
                    <a:ext cx="5399405" cy="5613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-222249</wp:posOffset>
          </wp:positionH>
          <wp:positionV relativeFrom="paragraph">
            <wp:posOffset>-303529</wp:posOffset>
          </wp:positionV>
          <wp:extent cx="914400" cy="934085"/>
          <wp:effectExtent b="0" l="0" r="0" t="0"/>
          <wp:wrapSquare wrapText="left" distB="0" distT="0" distL="114300" distR="114300"/>
          <wp:docPr id="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340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5251450</wp:posOffset>
          </wp:positionH>
          <wp:positionV relativeFrom="paragraph">
            <wp:posOffset>-234949</wp:posOffset>
          </wp:positionV>
          <wp:extent cx="928800" cy="838800"/>
          <wp:effectExtent b="0" l="0" r="0" t="0"/>
          <wp:wrapSquare wrapText="right" distB="0" distT="0" distL="114300" distR="11430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800" cy="838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bidi w:val="1"/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4632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C60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6051"/>
  </w:style>
  <w:style w:type="paragraph" w:styleId="Footer">
    <w:name w:val="footer"/>
    <w:basedOn w:val="Normal"/>
    <w:link w:val="FooterChar"/>
    <w:uiPriority w:val="99"/>
    <w:unhideWhenUsed w:val="1"/>
    <w:rsid w:val="009C60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6051"/>
  </w:style>
  <w:style w:type="paragraph" w:styleId="gmail-m6342414518819957319msolistparagraph" w:customStyle="1">
    <w:name w:val="gmail-m_6342414518819957319msolistparagraph"/>
    <w:basedOn w:val="Normal"/>
    <w:rsid w:val="00C87932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yHZpg8mLNiosXKJX5HOoIRbAHA==">AMUW2mUSNsziz/zzpa+CzV1QnNI5nj4L2HU72LCPGIqGiT3H+aUG7IgD9aXghL8iMkJ3xt7yYvBRZP+X8V9baBGFR6LXErF/8Cniw5QWNG65fYXc7ilxPVg=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2020-11-25T18:06:00Z</dcterms:created>
  <dc:creator>Nizar Hassan</dc:creator>
</cp:coreProperties>
</file>